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21267" w14:textId="2373428E" w:rsidR="00B428BD" w:rsidRPr="00953776" w:rsidRDefault="00953776" w:rsidP="00B428BD">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953776">
        <w:rPr>
          <w:rFonts w:eastAsia="MS Mincho" w:cs="Arial"/>
          <w:kern w:val="0"/>
          <w:sz w:val="24"/>
          <w:lang w:val="en-US" w:eastAsia="en-US"/>
        </w:rPr>
        <w:t>3GPP TSG RAN WG1 NB-IoT Ad-Hoc Meeting</w:t>
      </w:r>
      <w:bookmarkStart w:id="0" w:name="_GoBack"/>
      <w:bookmarkEnd w:id="0"/>
      <w:r w:rsidR="00B428BD" w:rsidRPr="00953776">
        <w:rPr>
          <w:rFonts w:eastAsia="MS Mincho" w:cs="Arial"/>
          <w:kern w:val="0"/>
          <w:sz w:val="24"/>
          <w:lang w:val="en-US" w:eastAsia="en-US"/>
        </w:rPr>
        <w:tab/>
      </w:r>
      <w:r w:rsidR="009D5065" w:rsidRPr="00953776">
        <w:rPr>
          <w:rFonts w:eastAsia="MS Mincho" w:cs="Arial"/>
          <w:kern w:val="0"/>
          <w:sz w:val="24"/>
          <w:lang w:val="en-US" w:eastAsia="en-US"/>
        </w:rPr>
        <w:t>R1-</w:t>
      </w:r>
      <w:r w:rsidR="003A307E" w:rsidRPr="00953776">
        <w:rPr>
          <w:rFonts w:eastAsia="MS Mincho" w:cs="Arial"/>
          <w:kern w:val="0"/>
          <w:sz w:val="24"/>
          <w:lang w:val="en-US" w:eastAsia="en-US"/>
        </w:rPr>
        <w:t>161820</w:t>
      </w:r>
    </w:p>
    <w:p w14:paraId="7B46E5C5" w14:textId="6049C45A" w:rsidR="003A307E" w:rsidRDefault="00953776" w:rsidP="003A307E">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953776">
        <w:rPr>
          <w:rFonts w:eastAsia="MS Mincho" w:cs="Arial"/>
          <w:kern w:val="0"/>
          <w:sz w:val="24"/>
          <w:lang w:val="en-US" w:eastAsia="en-US"/>
        </w:rPr>
        <w:t xml:space="preserve">Sophia </w:t>
      </w:r>
      <w:proofErr w:type="spellStart"/>
      <w:r w:rsidRPr="00953776">
        <w:rPr>
          <w:rFonts w:eastAsia="MS Mincho" w:cs="Arial"/>
          <w:kern w:val="0"/>
          <w:sz w:val="24"/>
          <w:lang w:val="en-US" w:eastAsia="en-US"/>
        </w:rPr>
        <w:t>Antipolis</w:t>
      </w:r>
      <w:proofErr w:type="spellEnd"/>
      <w:r w:rsidRPr="00953776">
        <w:rPr>
          <w:rFonts w:eastAsia="MS Mincho" w:cs="Arial"/>
          <w:kern w:val="0"/>
          <w:sz w:val="24"/>
          <w:lang w:val="en-US" w:eastAsia="en-US"/>
        </w:rPr>
        <w:t>, France, 22</w:t>
      </w:r>
      <w:r w:rsidRPr="00953776">
        <w:rPr>
          <w:rFonts w:eastAsia="MS Mincho" w:cs="Arial"/>
          <w:kern w:val="0"/>
          <w:sz w:val="24"/>
          <w:vertAlign w:val="superscript"/>
          <w:lang w:val="en-US" w:eastAsia="en-US"/>
        </w:rPr>
        <w:t>nd</w:t>
      </w:r>
      <w:r w:rsidRPr="00953776">
        <w:rPr>
          <w:rFonts w:eastAsia="MS Mincho" w:cs="Arial"/>
          <w:kern w:val="0"/>
          <w:sz w:val="24"/>
          <w:lang w:val="en-US" w:eastAsia="en-US"/>
        </w:rPr>
        <w:t xml:space="preserve"> - 24</w:t>
      </w:r>
      <w:r w:rsidRPr="00953776">
        <w:rPr>
          <w:rFonts w:eastAsia="MS Mincho" w:cs="Arial"/>
          <w:kern w:val="0"/>
          <w:sz w:val="24"/>
          <w:vertAlign w:val="superscript"/>
          <w:lang w:val="en-US" w:eastAsia="en-US"/>
        </w:rPr>
        <w:t>th</w:t>
      </w:r>
      <w:r w:rsidRPr="00953776">
        <w:rPr>
          <w:rFonts w:eastAsia="MS Mincho" w:cs="Arial"/>
          <w:kern w:val="0"/>
          <w:sz w:val="24"/>
          <w:lang w:val="en-US" w:eastAsia="en-US"/>
        </w:rPr>
        <w:t xml:space="preserve"> March 2016</w:t>
      </w:r>
    </w:p>
    <w:p w14:paraId="586D411C" w14:textId="0CA53FD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6999EDBA" w:rsidR="00BD21BC" w:rsidRDefault="00BD21BC" w:rsidP="00BD21BC">
      <w:pPr>
        <w:keepNext/>
        <w:pBdr>
          <w:top w:val="single" w:sz="4" w:space="1" w:color="auto"/>
        </w:pBdr>
        <w:tabs>
          <w:tab w:val="left" w:pos="2552"/>
        </w:tabs>
        <w:ind w:left="2550" w:hanging="2550"/>
        <w:rPr>
          <w:rFonts w:cs="Arial"/>
          <w:b/>
          <w:sz w:val="24"/>
          <w:lang w:val="en-US"/>
        </w:rPr>
      </w:pPr>
      <w:r w:rsidRPr="00B24337">
        <w:rPr>
          <w:rFonts w:cs="Arial"/>
          <w:b/>
          <w:sz w:val="24"/>
          <w:lang w:val="en-US"/>
        </w:rPr>
        <w:t xml:space="preserve">Title:  </w:t>
      </w:r>
      <w:r w:rsidRPr="00B24337">
        <w:rPr>
          <w:rFonts w:cs="Arial"/>
          <w:b/>
          <w:sz w:val="24"/>
          <w:lang w:val="en-US"/>
        </w:rPr>
        <w:tab/>
      </w:r>
      <w:r w:rsidR="00035145" w:rsidRPr="00300A0D">
        <w:rPr>
          <w:rFonts w:cs="Arial"/>
          <w:b/>
          <w:sz w:val="24"/>
          <w:lang w:val="en-US"/>
        </w:rPr>
        <w:t>NB-</w:t>
      </w:r>
      <w:proofErr w:type="spellStart"/>
      <w:r w:rsidR="00035145" w:rsidRPr="00300A0D">
        <w:rPr>
          <w:rFonts w:cs="Arial"/>
          <w:b/>
          <w:sz w:val="24"/>
          <w:lang w:val="en-US"/>
        </w:rPr>
        <w:t>IoT</w:t>
      </w:r>
      <w:proofErr w:type="spellEnd"/>
      <w:r w:rsidR="00035145" w:rsidRPr="00300A0D">
        <w:rPr>
          <w:rFonts w:cs="Arial"/>
          <w:b/>
          <w:sz w:val="24"/>
          <w:lang w:val="en-US"/>
        </w:rPr>
        <w:t xml:space="preserve"> - Remaining issues for NPBCH and MIB</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24DE4747" w:rsidR="00A675B4" w:rsidRPr="00DF438D" w:rsidRDefault="00BD21BC" w:rsidP="00BD21BC">
      <w:pPr>
        <w:keepNext/>
        <w:tabs>
          <w:tab w:val="left" w:pos="2552"/>
        </w:tabs>
        <w:rPr>
          <w:lang w:val="en-US"/>
        </w:rPr>
      </w:pPr>
      <w:r w:rsidRPr="001B1584">
        <w:rPr>
          <w:rFonts w:cs="Arial"/>
          <w:b/>
          <w:sz w:val="24"/>
          <w:lang w:val="en-US"/>
        </w:rPr>
        <w:t xml:space="preserve">Agenda Item:         </w:t>
      </w:r>
      <w:r w:rsidRPr="001B1584">
        <w:rPr>
          <w:rFonts w:cs="Arial"/>
          <w:b/>
          <w:sz w:val="24"/>
          <w:lang w:val="en-US"/>
        </w:rPr>
        <w:tab/>
      </w:r>
      <w:r w:rsidR="00035145" w:rsidRPr="00035145">
        <w:rPr>
          <w:rFonts w:cs="Arial"/>
          <w:b/>
          <w:sz w:val="24"/>
          <w:lang w:val="en-US"/>
        </w:rPr>
        <w:t>2.2.1</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3D3A6F85"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950151">
        <w:rPr>
          <w:i/>
          <w:lang w:val="en-US"/>
        </w:rPr>
        <w:t>b</w:t>
      </w:r>
      <w:r w:rsidRPr="00D9057B">
        <w:rPr>
          <w:i/>
          <w:lang w:val="en-US"/>
        </w:rPr>
        <w:t>and I</w:t>
      </w:r>
      <w:r w:rsidR="00950151">
        <w:rPr>
          <w:i/>
          <w:lang w:val="en-US"/>
        </w:rPr>
        <w:t>o</w:t>
      </w:r>
      <w:r w:rsidRPr="00D9057B">
        <w:rPr>
          <w:i/>
          <w:lang w:val="en-US"/>
        </w:rPr>
        <w:t>T (NB-I</w:t>
      </w:r>
      <w:r w:rsidR="00950151">
        <w:rPr>
          <w:i/>
          <w:lang w:val="en-US"/>
        </w:rPr>
        <w:t>o</w:t>
      </w:r>
      <w:r w:rsidRPr="00D9057B">
        <w:rPr>
          <w:i/>
          <w:lang w:val="en-US"/>
        </w:rPr>
        <w:t>T)</w:t>
      </w:r>
      <w:r>
        <w:rPr>
          <w:lang w:val="en-US"/>
        </w:rPr>
        <w:t xml:space="preserve"> was approved, see</w:t>
      </w:r>
      <w:r w:rsidR="002A24CF">
        <w:rPr>
          <w:lang w:val="en-US"/>
        </w:rPr>
        <w:t xml:space="preserve"> </w:t>
      </w:r>
      <w:r w:rsidR="002A24CF">
        <w:rPr>
          <w:lang w:val="en-US"/>
        </w:rPr>
        <w:fldChar w:fldCharType="begin"/>
      </w:r>
      <w:r w:rsidR="002A24CF">
        <w:rPr>
          <w:lang w:val="en-US"/>
        </w:rPr>
        <w:instrText xml:space="preserve"> REF _Ref436223503 \r \h </w:instrText>
      </w:r>
      <w:r w:rsidR="002A24CF">
        <w:rPr>
          <w:lang w:val="en-US"/>
        </w:rPr>
      </w:r>
      <w:r w:rsidR="002A24CF">
        <w:rPr>
          <w:lang w:val="en-US"/>
        </w:rPr>
        <w:fldChar w:fldCharType="separate"/>
      </w:r>
      <w:r w:rsidR="00002708">
        <w:rPr>
          <w:lang w:val="en-US"/>
        </w:rPr>
        <w:t>[1]</w:t>
      </w:r>
      <w:r w:rsidR="002A24C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7124E77C" w14:textId="54189BAD" w:rsidR="002D0DE7" w:rsidRDefault="002D0DE7" w:rsidP="002D0DE7">
      <w:pPr>
        <w:pStyle w:val="BodyText"/>
      </w:pPr>
      <w:r w:rsidRPr="001B1584">
        <w:t>In RAN</w:t>
      </w:r>
      <w:r w:rsidR="00F02927">
        <w:t xml:space="preserve">1#84 meeting, </w:t>
      </w:r>
      <w:r w:rsidRPr="001B1584">
        <w:t>the following items</w:t>
      </w:r>
      <w:r w:rsidR="00957BEC">
        <w:t xml:space="preserve"> about </w:t>
      </w:r>
      <w:r w:rsidR="00F02927">
        <w:t>NPBCH and NB-MIB</w:t>
      </w:r>
      <w:r w:rsidR="00B777CC">
        <w:t xml:space="preserve"> are agreed. </w:t>
      </w:r>
    </w:p>
    <w:p w14:paraId="090654E2" w14:textId="66A1686A" w:rsidR="00AB3A12" w:rsidRPr="00AB3A12" w:rsidRDefault="00AB3A12" w:rsidP="00AB3A12">
      <w:pPr>
        <w:rPr>
          <w:rFonts w:ascii="Times" w:eastAsia="MS Mincho" w:hAnsi="Times" w:cs="Times"/>
          <w:lang w:val="en-US"/>
        </w:rPr>
      </w:pPr>
      <w:r w:rsidRPr="00AB3A12">
        <w:rPr>
          <w:rFonts w:ascii="Times" w:eastAsia="MS Mincho" w:hAnsi="Times" w:cs="Times"/>
          <w:lang w:val="en-US"/>
        </w:rPr>
        <w:t>“</w:t>
      </w:r>
    </w:p>
    <w:p w14:paraId="4A49B309" w14:textId="286FA528" w:rsidR="00D0390D" w:rsidRPr="00487163" w:rsidRDefault="00D0390D" w:rsidP="00D0390D">
      <w:pPr>
        <w:pStyle w:val="ListParagraph"/>
        <w:numPr>
          <w:ilvl w:val="0"/>
          <w:numId w:val="46"/>
        </w:numPr>
        <w:rPr>
          <w:rFonts w:ascii="Times" w:eastAsia="MS Mincho" w:hAnsi="Times" w:cs="Times"/>
          <w:lang w:val="en-US"/>
        </w:rPr>
      </w:pPr>
      <w:r w:rsidRPr="00487163">
        <w:rPr>
          <w:rFonts w:ascii="Times" w:eastAsia="MS Mincho" w:hAnsi="Times" w:cs="Times"/>
          <w:lang w:val="en-US"/>
        </w:rPr>
        <w:t>The 4 most significant bits of NB-</w:t>
      </w:r>
      <w:r>
        <w:rPr>
          <w:rFonts w:ascii="Times" w:eastAsia="MS Mincho" w:hAnsi="Times" w:cs="Times"/>
          <w:lang w:val="en-US"/>
        </w:rPr>
        <w:t>IoT SFN are indicated in NB-MIB</w:t>
      </w:r>
    </w:p>
    <w:p w14:paraId="08664607" w14:textId="77777777" w:rsidR="00D0390D" w:rsidRDefault="00D0390D" w:rsidP="00D0390D">
      <w:pPr>
        <w:pStyle w:val="ListParagraph"/>
        <w:numPr>
          <w:ilvl w:val="0"/>
          <w:numId w:val="46"/>
        </w:numPr>
        <w:rPr>
          <w:rFonts w:ascii="Times" w:eastAsia="MS Mincho" w:hAnsi="Times" w:cs="Times"/>
          <w:lang w:val="en-US"/>
        </w:rPr>
      </w:pPr>
      <w:r w:rsidRPr="00487163">
        <w:rPr>
          <w:rFonts w:ascii="Times" w:eastAsia="MS Mincho" w:hAnsi="Times" w:cs="Times"/>
          <w:lang w:val="en-US"/>
        </w:rPr>
        <w:t>4 bits are used to indicate NB-SIB1 s</w:t>
      </w:r>
      <w:r>
        <w:rPr>
          <w:rFonts w:ascii="Times" w:eastAsia="MS Mincho" w:hAnsi="Times" w:cs="Times"/>
          <w:lang w:val="en-US"/>
        </w:rPr>
        <w:t>cheduling information in NB-MIB</w:t>
      </w:r>
    </w:p>
    <w:p w14:paraId="56992148" w14:textId="77777777" w:rsidR="00D0390D" w:rsidRPr="00C225FA" w:rsidRDefault="00D0390D" w:rsidP="00D0390D">
      <w:pPr>
        <w:pStyle w:val="ListParagraph"/>
        <w:numPr>
          <w:ilvl w:val="0"/>
          <w:numId w:val="46"/>
        </w:numPr>
        <w:rPr>
          <w:rFonts w:ascii="Times" w:eastAsia="MS Mincho" w:hAnsi="Times" w:cs="Times"/>
          <w:lang w:val="en-US" w:eastAsia="ja-JP"/>
        </w:rPr>
      </w:pPr>
      <w:r w:rsidRPr="00C225FA">
        <w:rPr>
          <w:rFonts w:ascii="Times" w:eastAsia="MS Mincho" w:hAnsi="Times" w:cs="Times"/>
          <w:lang w:val="en-US"/>
        </w:rPr>
        <w:t>Rate matching, scrambling and mapping for Normal CP</w:t>
      </w:r>
      <w:r w:rsidRPr="00C225FA">
        <w:rPr>
          <w:rFonts w:ascii="Times" w:eastAsia="MS Mincho" w:hAnsi="Times" w:cs="Times"/>
          <w:lang w:eastAsia="ja-JP"/>
        </w:rPr>
        <w:t xml:space="preserve"> </w:t>
      </w:r>
    </w:p>
    <w:p w14:paraId="4B9E9D79" w14:textId="77777777" w:rsidR="00D0390D" w:rsidRPr="00C225FA" w:rsidRDefault="00D0390D" w:rsidP="00D0390D">
      <w:pPr>
        <w:numPr>
          <w:ilvl w:val="1"/>
          <w:numId w:val="46"/>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val="en-US"/>
        </w:rPr>
        <w:t>In FDD</w:t>
      </w:r>
      <w:r w:rsidRPr="00C225FA">
        <w:rPr>
          <w:rFonts w:ascii="Times" w:eastAsia="MS Mincho" w:hAnsi="Times" w:cs="Times"/>
          <w:lang w:val="en-US" w:eastAsia="ja-JP"/>
        </w:rPr>
        <w:t xml:space="preserve"> mode, after CRC attachment and channel coding, the NB-MIB is rate matched to </w:t>
      </w:r>
      <w:r w:rsidRPr="00C225FA">
        <w:rPr>
          <w:rFonts w:ascii="Times" w:eastAsia="MS Mincho" w:hAnsi="Times" w:cs="Times"/>
          <w:i/>
          <w:iCs/>
          <w:lang w:val="en-US" w:eastAsia="ja-JP"/>
        </w:rPr>
        <w:t>E</w:t>
      </w:r>
      <w:r w:rsidRPr="00C225FA">
        <w:rPr>
          <w:rFonts w:ascii="Times" w:eastAsia="MS Mincho" w:hAnsi="Times" w:cs="Times"/>
          <w:lang w:val="en-US" w:eastAsia="ja-JP"/>
        </w:rPr>
        <w:t xml:space="preserve">=1,600 bits denoted by </w:t>
      </w:r>
      <w:r w:rsidRPr="00C225FA">
        <w:rPr>
          <w:rFonts w:ascii="Times" w:eastAsia="MS Mincho" w:hAnsi="Times" w:cs="Times"/>
          <w:i/>
          <w:iCs/>
          <w:lang w:val="en-US" w:eastAsia="ja-JP"/>
        </w:rPr>
        <w:t>e</w:t>
      </w:r>
      <w:r w:rsidRPr="00C225FA">
        <w:rPr>
          <w:rFonts w:ascii="Times" w:eastAsia="MS Mincho" w:hAnsi="Times" w:cs="Times"/>
          <w:i/>
          <w:iCs/>
          <w:vertAlign w:val="subscript"/>
          <w:lang w:val="en-US" w:eastAsia="ja-JP"/>
        </w:rPr>
        <w:t>0</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1</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 xml:space="preserve">E-1 </w:t>
      </w:r>
      <w:r w:rsidRPr="00C225FA">
        <w:rPr>
          <w:rFonts w:ascii="Times" w:eastAsia="MS Mincho" w:hAnsi="Times" w:cs="Times"/>
          <w:lang w:eastAsia="ja-JP"/>
        </w:rPr>
        <w:t xml:space="preserve">according to Section 5.3.1.3 in </w:t>
      </w:r>
      <w:r w:rsidRPr="00C225FA">
        <w:rPr>
          <w:rFonts w:ascii="Times" w:eastAsia="MS Mincho" w:hAnsi="Times" w:cs="Times"/>
          <w:lang w:val="en-US" w:eastAsia="ja-JP"/>
        </w:rPr>
        <w:t xml:space="preserve">TS 36.212 </w:t>
      </w:r>
    </w:p>
    <w:p w14:paraId="1F0C0E64" w14:textId="77777777" w:rsidR="00D0390D" w:rsidRPr="00C225FA" w:rsidRDefault="00D0390D" w:rsidP="00D0390D">
      <w:pPr>
        <w:numPr>
          <w:ilvl w:val="1"/>
          <w:numId w:val="46"/>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The rate matched bits are scrambled with a sequence of length 1,600 </w:t>
      </w:r>
    </w:p>
    <w:p w14:paraId="2C90C73B" w14:textId="77777777" w:rsidR="00D0390D" w:rsidRPr="00C225FA" w:rsidRDefault="00D0390D" w:rsidP="00D0390D">
      <w:pPr>
        <w:numPr>
          <w:ilvl w:val="2"/>
          <w:numId w:val="46"/>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The scrambling sequence for the NB-PBCH is given in 7.2 of TS 36.211 and is initialized with the NB-IoT Physical Cell Identifier (PCI) in each radio frame fulfilling </w:t>
      </w:r>
      <w:proofErr w:type="spellStart"/>
      <w:r w:rsidRPr="00C225FA">
        <w:rPr>
          <w:rFonts w:ascii="Times" w:eastAsia="MS Mincho" w:hAnsi="Times" w:cs="Times"/>
          <w:lang w:eastAsia="ja-JP"/>
        </w:rPr>
        <w:t>n</w:t>
      </w:r>
      <w:r w:rsidRPr="00C225FA">
        <w:rPr>
          <w:rFonts w:ascii="Times" w:eastAsia="MS Mincho" w:hAnsi="Times" w:cs="Times"/>
          <w:vertAlign w:val="subscript"/>
          <w:lang w:eastAsia="ja-JP"/>
        </w:rPr>
        <w:t>f</w:t>
      </w:r>
      <w:proofErr w:type="spellEnd"/>
      <w:r w:rsidRPr="00C225FA">
        <w:rPr>
          <w:rFonts w:ascii="Times" w:eastAsia="MS Mincho" w:hAnsi="Times" w:cs="Times"/>
          <w:lang w:eastAsia="ja-JP"/>
        </w:rPr>
        <w:t xml:space="preserve"> mod 64 = 0 where </w:t>
      </w:r>
      <w:proofErr w:type="spellStart"/>
      <w:r w:rsidRPr="00C225FA">
        <w:rPr>
          <w:rFonts w:ascii="Times" w:eastAsia="MS Mincho" w:hAnsi="Times" w:cs="Times"/>
          <w:lang w:eastAsia="ja-JP"/>
        </w:rPr>
        <w:t>n</w:t>
      </w:r>
      <w:r w:rsidRPr="00C225FA">
        <w:rPr>
          <w:rFonts w:ascii="Times" w:eastAsia="MS Mincho" w:hAnsi="Times" w:cs="Times"/>
          <w:vertAlign w:val="subscript"/>
          <w:lang w:eastAsia="ja-JP"/>
        </w:rPr>
        <w:t>f</w:t>
      </w:r>
      <w:proofErr w:type="spellEnd"/>
      <w:r w:rsidRPr="00C225FA">
        <w:rPr>
          <w:rFonts w:ascii="Times" w:eastAsia="MS Mincho" w:hAnsi="Times" w:cs="Times"/>
          <w:lang w:eastAsia="ja-JP"/>
        </w:rPr>
        <w:t xml:space="preserve"> is the System Frame Number (SFN) </w:t>
      </w:r>
    </w:p>
    <w:p w14:paraId="4937DF0D" w14:textId="77777777" w:rsidR="00D0390D" w:rsidRPr="00C225FA" w:rsidRDefault="00D0390D" w:rsidP="00D0390D">
      <w:pPr>
        <w:numPr>
          <w:ilvl w:val="1"/>
          <w:numId w:val="46"/>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modulated bits are mapped to resource elements in a frequency first, time second fashion</w:t>
      </w:r>
    </w:p>
    <w:p w14:paraId="7F74CD89" w14:textId="77777777" w:rsidR="00D0390D" w:rsidRPr="00C225FA" w:rsidRDefault="00D0390D" w:rsidP="00D0390D">
      <w:pPr>
        <w:numPr>
          <w:ilvl w:val="1"/>
          <w:numId w:val="46"/>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Within one NB-MIB TTI, the </w:t>
      </w:r>
      <w:r w:rsidRPr="00C225FA">
        <w:rPr>
          <w:rFonts w:ascii="Times" w:eastAsia="MS Mincho" w:hAnsi="Times" w:cs="Times"/>
          <w:i/>
          <w:iCs/>
          <w:lang w:eastAsia="ja-JP"/>
        </w:rPr>
        <w:t>i</w:t>
      </w:r>
      <w:r w:rsidRPr="00C225FA">
        <w:rPr>
          <w:rFonts w:ascii="Times" w:eastAsia="MS Mincho" w:hAnsi="Times" w:cs="Times"/>
          <w:lang w:eastAsia="ja-JP"/>
        </w:rPr>
        <w:t>-</w:t>
      </w:r>
      <w:proofErr w:type="spellStart"/>
      <w:r w:rsidRPr="00C225FA">
        <w:rPr>
          <w:rFonts w:ascii="Times" w:eastAsia="MS Mincho" w:hAnsi="Times" w:cs="Times"/>
          <w:lang w:eastAsia="ja-JP"/>
        </w:rPr>
        <w:t>th</w:t>
      </w:r>
      <w:proofErr w:type="spellEnd"/>
      <w:r w:rsidRPr="00C225FA">
        <w:rPr>
          <w:rFonts w:ascii="Times" w:eastAsia="MS Mincho" w:hAnsi="Times" w:cs="Times"/>
          <w:lang w:eastAsia="ja-JP"/>
        </w:rPr>
        <w:t xml:space="preserve"> block of 80ms duration,</w:t>
      </w:r>
      <w:r w:rsidRPr="00C225FA">
        <w:rPr>
          <w:rFonts w:ascii="Times" w:eastAsia="MS Mincho" w:hAnsi="Times" w:cs="Times"/>
          <w:i/>
          <w:iCs/>
          <w:lang w:eastAsia="ja-JP"/>
        </w:rPr>
        <w:t xml:space="preserve"> i</w:t>
      </w:r>
      <w:r w:rsidRPr="00C225FA">
        <w:rPr>
          <w:rFonts w:ascii="Times" w:eastAsia="MS Mincho" w:hAnsi="Times" w:cs="Times"/>
          <w:lang w:eastAsia="ja-JP"/>
        </w:rPr>
        <w:t xml:space="preserve">=0,1,…,7, is used to transmit bits </w:t>
      </w:r>
      <w:r w:rsidRPr="00C225FA">
        <w:rPr>
          <w:rFonts w:ascii="Times" w:eastAsia="MS Mincho" w:hAnsi="Times" w:cs="Times"/>
          <w:i/>
          <w:iCs/>
          <w:lang w:eastAsia="ja-JP"/>
        </w:rPr>
        <w:t>e</w:t>
      </w:r>
      <w:r w:rsidRPr="00C225FA">
        <w:rPr>
          <w:rFonts w:ascii="Times" w:eastAsia="MS Mincho" w:hAnsi="Times" w:cs="Times"/>
          <w:i/>
          <w:iCs/>
          <w:vertAlign w:val="subscript"/>
          <w:lang w:eastAsia="ja-JP"/>
        </w:rPr>
        <w:t>200*</w:t>
      </w:r>
      <w:proofErr w:type="spellStart"/>
      <w:r w:rsidRPr="00C225FA">
        <w:rPr>
          <w:rFonts w:ascii="Times" w:eastAsia="MS Mincho" w:hAnsi="Times" w:cs="Times"/>
          <w:i/>
          <w:iCs/>
          <w:vertAlign w:val="subscript"/>
          <w:lang w:eastAsia="ja-JP"/>
        </w:rPr>
        <w:t>i+j</w:t>
      </w:r>
      <w:proofErr w:type="spellEnd"/>
      <w:r w:rsidRPr="00C225FA">
        <w:rPr>
          <w:rFonts w:ascii="Times" w:eastAsia="MS Mincho" w:hAnsi="Times" w:cs="Times"/>
          <w:i/>
          <w:iCs/>
          <w:vertAlign w:val="subscript"/>
          <w:lang w:eastAsia="ja-JP"/>
        </w:rPr>
        <w:t xml:space="preserve"> </w:t>
      </w:r>
      <w:r w:rsidRPr="00C225FA">
        <w:rPr>
          <w:rFonts w:ascii="Times" w:eastAsia="MS Mincho" w:hAnsi="Times" w:cs="Times"/>
          <w:i/>
          <w:iCs/>
          <w:lang w:eastAsia="ja-JP"/>
        </w:rPr>
        <w:t>, j</w:t>
      </w:r>
      <w:r w:rsidRPr="00C225FA">
        <w:rPr>
          <w:rFonts w:ascii="Times" w:eastAsia="MS Mincho" w:hAnsi="Times" w:cs="Times"/>
          <w:lang w:eastAsia="ja-JP"/>
        </w:rPr>
        <w:t xml:space="preserve">=0,1,…,199, i.e., identical symbols are transmitted in each subframe #0 within the </w:t>
      </w:r>
      <w:r w:rsidRPr="00C225FA">
        <w:rPr>
          <w:rFonts w:ascii="Times" w:eastAsia="MS Mincho" w:hAnsi="Times" w:cs="Times"/>
          <w:i/>
          <w:iCs/>
          <w:lang w:eastAsia="ja-JP"/>
        </w:rPr>
        <w:t>i</w:t>
      </w:r>
      <w:r w:rsidRPr="00C225FA">
        <w:rPr>
          <w:rFonts w:ascii="Times" w:eastAsia="MS Mincho" w:hAnsi="Times" w:cs="Times"/>
          <w:lang w:eastAsia="ja-JP"/>
        </w:rPr>
        <w:t>-</w:t>
      </w:r>
      <w:proofErr w:type="spellStart"/>
      <w:r w:rsidRPr="00C225FA">
        <w:rPr>
          <w:rFonts w:ascii="Times" w:eastAsia="MS Mincho" w:hAnsi="Times" w:cs="Times"/>
          <w:lang w:eastAsia="ja-JP"/>
        </w:rPr>
        <w:t>th</w:t>
      </w:r>
      <w:proofErr w:type="spellEnd"/>
      <w:r w:rsidRPr="00C225FA">
        <w:rPr>
          <w:rFonts w:ascii="Times" w:eastAsia="MS Mincho" w:hAnsi="Times" w:cs="Times"/>
          <w:lang w:eastAsia="ja-JP"/>
        </w:rPr>
        <w:t xml:space="preserve"> block</w:t>
      </w:r>
    </w:p>
    <w:p w14:paraId="3EFDFC7A" w14:textId="77777777" w:rsidR="00D0390D" w:rsidRPr="00C225FA" w:rsidRDefault="00D0390D" w:rsidP="00D0390D">
      <w:pPr>
        <w:numPr>
          <w:ilvl w:val="0"/>
          <w:numId w:val="47"/>
        </w:numPr>
        <w:overflowPunct/>
        <w:autoSpaceDE/>
        <w:autoSpaceDN/>
        <w:adjustRightInd/>
        <w:spacing w:after="0"/>
        <w:jc w:val="left"/>
        <w:textAlignment w:val="auto"/>
        <w:rPr>
          <w:rFonts w:ascii="Times" w:eastAsia="MS Mincho" w:hAnsi="Times" w:cs="Times"/>
          <w:lang w:eastAsia="ja-JP"/>
        </w:rPr>
      </w:pPr>
      <w:r w:rsidRPr="00C225FA">
        <w:rPr>
          <w:rFonts w:ascii="Times" w:eastAsia="MS Mincho" w:hAnsi="Times" w:cs="Times"/>
          <w:lang w:eastAsia="ja-JP"/>
        </w:rPr>
        <w:t>The number of NB-RS ports (1 or 2) is indicated by NB-PBCH CRC masking (all 0’s for 1 port, and all 1’s for 2 ports, as in the current spec for LTE CRS)</w:t>
      </w:r>
    </w:p>
    <w:p w14:paraId="30CBA9F7" w14:textId="77777777" w:rsidR="00D0390D" w:rsidRPr="00C225FA" w:rsidRDefault="00D0390D" w:rsidP="00D0390D">
      <w:pPr>
        <w:numPr>
          <w:ilvl w:val="0"/>
          <w:numId w:val="47"/>
        </w:numPr>
        <w:overflowPunct/>
        <w:autoSpaceDE/>
        <w:autoSpaceDN/>
        <w:adjustRightInd/>
        <w:spacing w:after="0"/>
        <w:jc w:val="left"/>
        <w:textAlignment w:val="auto"/>
        <w:rPr>
          <w:rFonts w:ascii="Times" w:hAnsi="Times" w:cs="Times"/>
        </w:rPr>
      </w:pPr>
      <w:r w:rsidRPr="00C225FA">
        <w:rPr>
          <w:rFonts w:ascii="Times" w:hAnsi="Times" w:cs="Times"/>
        </w:rPr>
        <w:t xml:space="preserve">For rate matching purpose for NB-PBCH,  the number of NB-RS ports is based on 2 </w:t>
      </w:r>
    </w:p>
    <w:p w14:paraId="104433D0" w14:textId="77777777" w:rsidR="00D0390D" w:rsidRPr="00371A4B" w:rsidRDefault="00D0390D" w:rsidP="00D0390D">
      <w:pPr>
        <w:numPr>
          <w:ilvl w:val="0"/>
          <w:numId w:val="48"/>
        </w:numPr>
        <w:overflowPunct/>
        <w:autoSpaceDE/>
        <w:autoSpaceDN/>
        <w:adjustRightInd/>
        <w:spacing w:after="0"/>
        <w:jc w:val="left"/>
        <w:textAlignment w:val="auto"/>
        <w:rPr>
          <w:rFonts w:ascii="Times" w:hAnsi="Times" w:cs="Times"/>
          <w:szCs w:val="48"/>
        </w:rPr>
      </w:pPr>
      <w:r w:rsidRPr="00371A4B">
        <w:rPr>
          <w:rFonts w:ascii="Times" w:hAnsi="Times" w:cs="Times"/>
          <w:szCs w:val="48"/>
        </w:rPr>
        <w:t>The number of CRS ports is indicated by NB-MIB.</w:t>
      </w:r>
    </w:p>
    <w:p w14:paraId="23846631" w14:textId="77777777" w:rsidR="00D0390D" w:rsidRPr="00371A4B" w:rsidRDefault="00D0390D" w:rsidP="00D0390D">
      <w:pPr>
        <w:numPr>
          <w:ilvl w:val="0"/>
          <w:numId w:val="48"/>
        </w:numPr>
        <w:overflowPunct/>
        <w:autoSpaceDE/>
        <w:autoSpaceDN/>
        <w:adjustRightInd/>
        <w:spacing w:after="0"/>
        <w:jc w:val="left"/>
        <w:textAlignment w:val="auto"/>
        <w:rPr>
          <w:rFonts w:ascii="Times" w:hAnsi="Times" w:cs="Times"/>
        </w:rPr>
      </w:pPr>
      <w:r w:rsidRPr="00371A4B">
        <w:rPr>
          <w:rFonts w:ascii="Times" w:hAnsi="Times" w:cs="Times"/>
        </w:rPr>
        <w:t>The deployment mode is indicated by NB-MIB</w:t>
      </w:r>
    </w:p>
    <w:p w14:paraId="29511F0C" w14:textId="77777777" w:rsidR="00D0390D" w:rsidRPr="00371A4B" w:rsidRDefault="00D0390D" w:rsidP="00D0390D">
      <w:pPr>
        <w:pStyle w:val="ListParagraph"/>
        <w:numPr>
          <w:ilvl w:val="1"/>
          <w:numId w:val="46"/>
        </w:numPr>
        <w:rPr>
          <w:rFonts w:ascii="Times" w:eastAsia="MS Mincho" w:hAnsi="Times" w:cs="Times"/>
          <w:lang w:val="en-US"/>
        </w:rPr>
      </w:pPr>
      <w:r w:rsidRPr="00371A4B">
        <w:rPr>
          <w:rFonts w:ascii="Times" w:hAnsi="Times" w:cs="Times"/>
        </w:rPr>
        <w:t>Note: it doesn’t imply that it has to be a separate information field</w:t>
      </w:r>
    </w:p>
    <w:p w14:paraId="2820E082" w14:textId="77777777" w:rsidR="00D0390D" w:rsidRPr="00371A4B" w:rsidRDefault="00D0390D" w:rsidP="00D0390D">
      <w:pPr>
        <w:pStyle w:val="ListParagraph"/>
        <w:numPr>
          <w:ilvl w:val="0"/>
          <w:numId w:val="46"/>
        </w:numPr>
        <w:rPr>
          <w:rFonts w:ascii="Times" w:eastAsia="MS Mincho" w:hAnsi="Times" w:cs="Times"/>
          <w:lang w:val="en-US"/>
        </w:rPr>
      </w:pPr>
      <w:r w:rsidRPr="00371A4B">
        <w:rPr>
          <w:rFonts w:ascii="Times" w:eastAsia="MS Mincho" w:hAnsi="Times" w:cs="Times"/>
          <w:lang w:val="en-US"/>
        </w:rPr>
        <w:t>Raster offset is indicated in NB-MIB</w:t>
      </w:r>
    </w:p>
    <w:p w14:paraId="1051AA34" w14:textId="77777777" w:rsidR="00D0390D" w:rsidRPr="00371A4B" w:rsidRDefault="00D0390D" w:rsidP="00D0390D">
      <w:pPr>
        <w:pStyle w:val="ListParagraph"/>
        <w:numPr>
          <w:ilvl w:val="0"/>
          <w:numId w:val="46"/>
        </w:numPr>
        <w:rPr>
          <w:rFonts w:ascii="Times" w:eastAsia="MS Mincho" w:hAnsi="Times" w:cs="Times"/>
          <w:highlight w:val="darkYellow"/>
          <w:lang w:val="en-US"/>
        </w:rPr>
      </w:pPr>
      <w:r w:rsidRPr="00371A4B">
        <w:rPr>
          <w:rFonts w:ascii="Times" w:eastAsia="MS Mincho" w:hAnsi="Times" w:cs="Times"/>
          <w:highlight w:val="darkYellow"/>
          <w:lang w:val="en-US"/>
        </w:rPr>
        <w:t>Working assumption:</w:t>
      </w:r>
    </w:p>
    <w:p w14:paraId="27FB519A" w14:textId="77777777" w:rsidR="00D0390D" w:rsidRPr="00C225FA" w:rsidRDefault="00D0390D" w:rsidP="00D0390D">
      <w:pPr>
        <w:pStyle w:val="ListParagraph"/>
        <w:numPr>
          <w:ilvl w:val="1"/>
          <w:numId w:val="46"/>
        </w:numPr>
        <w:rPr>
          <w:rFonts w:ascii="Times" w:eastAsia="MS Mincho" w:hAnsi="Times" w:cs="Times"/>
          <w:lang w:val="en-US"/>
        </w:rPr>
      </w:pPr>
      <w:r w:rsidRPr="00C225FA">
        <w:rPr>
          <w:rFonts w:ascii="Times" w:eastAsia="MS Mincho" w:hAnsi="Times" w:cs="Times"/>
          <w:lang w:val="en-US"/>
        </w:rPr>
        <w:t xml:space="preserve">Information to obtain CRS sequence (only needed if same-PCI indicator is set to true), and a same-PCI indicator (to indicate whether or not LTE PCI and NB-IoT PCI are the same) are indicated in NB-MIB </w:t>
      </w:r>
    </w:p>
    <w:p w14:paraId="6F764A13" w14:textId="77777777" w:rsidR="00D0390D" w:rsidRPr="00C225FA" w:rsidRDefault="00D0390D" w:rsidP="00D0390D">
      <w:pPr>
        <w:pStyle w:val="ListParagraph"/>
        <w:numPr>
          <w:ilvl w:val="2"/>
          <w:numId w:val="46"/>
        </w:numPr>
        <w:rPr>
          <w:rFonts w:ascii="Times" w:eastAsia="MS Mincho" w:hAnsi="Times" w:cs="Times"/>
          <w:lang w:val="en-US"/>
        </w:rPr>
      </w:pPr>
      <w:r w:rsidRPr="00C225FA">
        <w:rPr>
          <w:rFonts w:ascii="Times" w:eastAsia="MS Mincho" w:hAnsi="Times" w:cs="Times"/>
          <w:lang w:val="en-US"/>
        </w:rPr>
        <w:t>Note that this working assumption is related to the working assumption regarding the potential usage of LTE CRS for demodulation</w:t>
      </w:r>
    </w:p>
    <w:p w14:paraId="28049F88" w14:textId="77777777" w:rsidR="00D0390D" w:rsidRPr="00C225FA" w:rsidRDefault="00D0390D" w:rsidP="00D0390D">
      <w:pPr>
        <w:pStyle w:val="ListParagraph"/>
        <w:numPr>
          <w:ilvl w:val="1"/>
          <w:numId w:val="46"/>
        </w:numPr>
        <w:rPr>
          <w:rFonts w:ascii="Times" w:eastAsia="MS Mincho" w:hAnsi="Times" w:cs="Times"/>
          <w:lang w:val="en-US"/>
        </w:rPr>
      </w:pPr>
      <w:r w:rsidRPr="00C225FA">
        <w:rPr>
          <w:rFonts w:ascii="Times" w:eastAsia="MS Mincho" w:hAnsi="Times" w:cs="Times"/>
          <w:lang w:val="en-US"/>
        </w:rPr>
        <w:t>FFS whether same-PCI indicator and PRB index are always present, or only in in-band case</w:t>
      </w:r>
    </w:p>
    <w:p w14:paraId="5468FC25" w14:textId="77777777" w:rsidR="00D0390D" w:rsidRPr="007E5BB4" w:rsidRDefault="00D0390D" w:rsidP="00D0390D">
      <w:pPr>
        <w:pStyle w:val="ListParagraph"/>
        <w:numPr>
          <w:ilvl w:val="0"/>
          <w:numId w:val="46"/>
        </w:numPr>
        <w:rPr>
          <w:rFonts w:ascii="Times" w:eastAsia="MS Mincho" w:hAnsi="Times" w:cs="Times"/>
          <w:lang w:val="en-US"/>
        </w:rPr>
      </w:pPr>
      <w:r w:rsidRPr="007E5BB4">
        <w:rPr>
          <w:rFonts w:ascii="Times" w:eastAsia="MS Mincho" w:hAnsi="Times" w:cs="Times"/>
          <w:lang w:val="en-US"/>
        </w:rPr>
        <w:t>The differentiation of FDD vs. TDD is NOT indicated in Rel-13</w:t>
      </w:r>
    </w:p>
    <w:p w14:paraId="5A9E0C2E" w14:textId="77777777" w:rsidR="00D0390D" w:rsidRDefault="00D0390D" w:rsidP="00D0390D">
      <w:pPr>
        <w:pStyle w:val="ListParagraph"/>
        <w:numPr>
          <w:ilvl w:val="1"/>
          <w:numId w:val="46"/>
        </w:numPr>
        <w:rPr>
          <w:rFonts w:ascii="Times" w:eastAsia="MS Mincho" w:hAnsi="Times" w:cs="Times"/>
          <w:lang w:val="en-US"/>
        </w:rPr>
      </w:pPr>
      <w:r w:rsidRPr="007E5BB4">
        <w:rPr>
          <w:rFonts w:ascii="Times" w:eastAsia="MS Mincho" w:hAnsi="Times" w:cs="Times"/>
          <w:lang w:val="en-US"/>
        </w:rPr>
        <w:t>Note: it is assumed that there is at least one reserved bit in NB-MIB</w:t>
      </w:r>
    </w:p>
    <w:p w14:paraId="3CD00749" w14:textId="7C461A66" w:rsidR="00B777CC" w:rsidRDefault="00D0390D" w:rsidP="00D0390D">
      <w:pPr>
        <w:pStyle w:val="BodyText"/>
        <w:rPr>
          <w:rFonts w:ascii="Times" w:eastAsia="MS Mincho" w:hAnsi="Times" w:cs="Times"/>
          <w:lang w:val="en-US"/>
        </w:rPr>
      </w:pPr>
      <w:r w:rsidRPr="00E2412B">
        <w:rPr>
          <w:rFonts w:ascii="Times" w:eastAsia="MS Mincho" w:hAnsi="Times" w:cs="Times"/>
          <w:lang w:val="en-US"/>
        </w:rPr>
        <w:t>NB-MIB indicates the TBS of NB-SIB1, where the number of different TB sizes for NB-SIB1 transmission is 4.</w:t>
      </w:r>
    </w:p>
    <w:p w14:paraId="3363515B" w14:textId="7535DF2C" w:rsidR="00AB3A12" w:rsidRPr="001B1584" w:rsidRDefault="00AB3A12" w:rsidP="00D0390D">
      <w:pPr>
        <w:pStyle w:val="BodyText"/>
      </w:pPr>
      <w:r>
        <w:rPr>
          <w:rFonts w:ascii="Times" w:eastAsia="MS Mincho" w:hAnsi="Times" w:cs="Times"/>
          <w:lang w:val="en-US"/>
        </w:rPr>
        <w:t>”</w:t>
      </w:r>
    </w:p>
    <w:p w14:paraId="4CB36456" w14:textId="0B9F06CC" w:rsidR="00FE04E7" w:rsidRPr="00365043" w:rsidRDefault="00792345" w:rsidP="00370F5F">
      <w:pPr>
        <w:pStyle w:val="BodyText"/>
      </w:pPr>
      <w:r w:rsidRPr="00365043">
        <w:t xml:space="preserve">In this contribution, we </w:t>
      </w:r>
      <w:bookmarkStart w:id="2" w:name="_Ref429119571"/>
      <w:r w:rsidR="00971D8D">
        <w:t xml:space="preserve">discuss </w:t>
      </w:r>
      <w:r w:rsidR="00D0390D">
        <w:t>some remaining issues of</w:t>
      </w:r>
      <w:r w:rsidR="00971D8D">
        <w:t xml:space="preserve"> NB-MIB </w:t>
      </w:r>
      <w:r w:rsidR="00D0390D">
        <w:t>and N</w:t>
      </w:r>
      <w:r w:rsidR="00971D8D">
        <w:t xml:space="preserve">PBCH design. </w:t>
      </w:r>
    </w:p>
    <w:p w14:paraId="382E410C" w14:textId="733E8AC2" w:rsidR="00BA3FBD" w:rsidRPr="00BA3FBD" w:rsidRDefault="008A4DE6" w:rsidP="00BA3FBD">
      <w:pPr>
        <w:pStyle w:val="Heading1"/>
      </w:pPr>
      <w:r>
        <w:lastRenderedPageBreak/>
        <w:t>Overview</w:t>
      </w:r>
    </w:p>
    <w:bookmarkEnd w:id="2"/>
    <w:p w14:paraId="16888199" w14:textId="567CC97B" w:rsidR="006F33CC" w:rsidRDefault="002D224A" w:rsidP="002D224A">
      <w:pPr>
        <w:rPr>
          <w:color w:val="000000" w:themeColor="text1"/>
          <w:lang w:val="en-US"/>
        </w:rPr>
      </w:pPr>
      <w:r w:rsidRPr="00FE1F13">
        <w:rPr>
          <w:color w:val="000000" w:themeColor="text1"/>
          <w:lang w:val="en-US"/>
        </w:rPr>
        <w:t>In NB-</w:t>
      </w:r>
      <w:r>
        <w:rPr>
          <w:color w:val="000000" w:themeColor="text1"/>
          <w:lang w:val="en-US"/>
        </w:rPr>
        <w:t>IoT</w:t>
      </w:r>
      <w:r w:rsidRPr="00FE1F13">
        <w:rPr>
          <w:color w:val="000000" w:themeColor="text1"/>
          <w:lang w:val="en-US"/>
        </w:rPr>
        <w:t>, the essential system information</w:t>
      </w:r>
      <w:r>
        <w:rPr>
          <w:color w:val="000000" w:themeColor="text1"/>
          <w:lang w:val="en-US"/>
        </w:rPr>
        <w:t xml:space="preserve">, e.g., </w:t>
      </w:r>
      <w:r w:rsidRPr="00FE1F13">
        <w:rPr>
          <w:color w:val="000000" w:themeColor="text1"/>
          <w:lang w:val="en-US"/>
        </w:rPr>
        <w:t>system frame number</w:t>
      </w:r>
      <w:r>
        <w:rPr>
          <w:color w:val="000000" w:themeColor="text1"/>
          <w:lang w:val="en-US"/>
        </w:rPr>
        <w:t xml:space="preserve"> (SFN</w:t>
      </w:r>
      <w:r w:rsidRPr="00FE1F13">
        <w:rPr>
          <w:color w:val="000000" w:themeColor="text1"/>
          <w:lang w:val="en-US"/>
        </w:rPr>
        <w:t>)</w:t>
      </w:r>
      <w:r>
        <w:rPr>
          <w:color w:val="000000" w:themeColor="text1"/>
          <w:lang w:val="en-US"/>
        </w:rPr>
        <w:t>,</w:t>
      </w:r>
      <w:r w:rsidRPr="00FE1F13">
        <w:rPr>
          <w:color w:val="000000" w:themeColor="text1"/>
          <w:lang w:val="en-US"/>
        </w:rPr>
        <w:t xml:space="preserve"> for initial access to a c</w:t>
      </w:r>
      <w:r w:rsidR="00000C85">
        <w:rPr>
          <w:color w:val="000000" w:themeColor="text1"/>
          <w:lang w:val="en-US"/>
        </w:rPr>
        <w:t xml:space="preserve">ell is carried on </w:t>
      </w:r>
      <w:r w:rsidR="00D0390D">
        <w:rPr>
          <w:color w:val="000000" w:themeColor="text1"/>
          <w:lang w:val="en-US"/>
        </w:rPr>
        <w:t>N</w:t>
      </w:r>
      <w:r w:rsidR="00321FE9">
        <w:rPr>
          <w:color w:val="000000" w:themeColor="text1"/>
          <w:lang w:val="en-US"/>
        </w:rPr>
        <w:t>PBCH</w:t>
      </w:r>
      <w:r w:rsidR="00000C85">
        <w:rPr>
          <w:color w:val="000000" w:themeColor="text1"/>
          <w:lang w:val="en-US"/>
        </w:rPr>
        <w:t xml:space="preserve">. </w:t>
      </w:r>
      <w:r w:rsidR="008A4DE6">
        <w:rPr>
          <w:color w:val="000000" w:themeColor="text1"/>
          <w:lang w:val="en-US"/>
        </w:rPr>
        <w:t>It i</w:t>
      </w:r>
      <w:r w:rsidR="00E36E54">
        <w:rPr>
          <w:color w:val="000000" w:themeColor="text1"/>
          <w:lang w:val="en-US"/>
        </w:rPr>
        <w:t>s beneficial to use the same N</w:t>
      </w:r>
      <w:r w:rsidR="008A4DE6">
        <w:rPr>
          <w:color w:val="000000" w:themeColor="text1"/>
          <w:lang w:val="en-US"/>
        </w:rPr>
        <w:t xml:space="preserve">PBCH design for all three deployment modes, i.e., standalone, guard-band and in-band. </w:t>
      </w:r>
      <w:r w:rsidR="006F33CC">
        <w:rPr>
          <w:color w:val="000000" w:themeColor="text1"/>
          <w:lang w:val="en-US"/>
        </w:rPr>
        <w:t xml:space="preserve">In </w:t>
      </w:r>
      <w:r w:rsidR="006F33CC">
        <w:rPr>
          <w:color w:val="000000" w:themeColor="text1"/>
          <w:lang w:val="en-US"/>
        </w:rPr>
        <w:fldChar w:fldCharType="begin"/>
      </w:r>
      <w:r w:rsidR="006F33CC">
        <w:rPr>
          <w:color w:val="000000" w:themeColor="text1"/>
          <w:lang w:val="en-US"/>
        </w:rPr>
        <w:instrText xml:space="preserve"> REF _Ref445649154 \r \h </w:instrText>
      </w:r>
      <w:r w:rsidR="006F33CC">
        <w:rPr>
          <w:color w:val="000000" w:themeColor="text1"/>
          <w:lang w:val="en-US"/>
        </w:rPr>
      </w:r>
      <w:r w:rsidR="006F33CC">
        <w:rPr>
          <w:color w:val="000000" w:themeColor="text1"/>
          <w:lang w:val="en-US"/>
        </w:rPr>
        <w:fldChar w:fldCharType="separate"/>
      </w:r>
      <w:r w:rsidR="00002708">
        <w:rPr>
          <w:color w:val="000000" w:themeColor="text1"/>
          <w:lang w:val="en-US"/>
        </w:rPr>
        <w:t>[3]</w:t>
      </w:r>
      <w:r w:rsidR="006F33CC">
        <w:rPr>
          <w:color w:val="000000" w:themeColor="text1"/>
          <w:lang w:val="en-US"/>
        </w:rPr>
        <w:fldChar w:fldCharType="end"/>
      </w:r>
      <w:r w:rsidR="006F33CC">
        <w:rPr>
          <w:color w:val="000000" w:themeColor="text1"/>
          <w:lang w:val="en-US"/>
        </w:rPr>
        <w:t>, it is proposed that different version of MIB contents should be used for different operation mode</w:t>
      </w:r>
      <w:r w:rsidR="007C6399">
        <w:rPr>
          <w:color w:val="000000" w:themeColor="text1"/>
          <w:lang w:val="en-US"/>
        </w:rPr>
        <w:t>s, since some of fi</w:t>
      </w:r>
      <w:r w:rsidR="006F33CC">
        <w:rPr>
          <w:color w:val="000000" w:themeColor="text1"/>
          <w:lang w:val="en-US"/>
        </w:rPr>
        <w:t>e</w:t>
      </w:r>
      <w:r w:rsidR="007C6399">
        <w:rPr>
          <w:color w:val="000000" w:themeColor="text1"/>
          <w:lang w:val="en-US"/>
        </w:rPr>
        <w:t>ld</w:t>
      </w:r>
      <w:r w:rsidR="006F33CC">
        <w:rPr>
          <w:color w:val="000000" w:themeColor="text1"/>
          <w:lang w:val="en-US"/>
        </w:rPr>
        <w:t>s in the MIB are not needed for some operations modes. Based on the underst</w:t>
      </w:r>
      <w:r w:rsidR="007C6399">
        <w:rPr>
          <w:color w:val="000000" w:themeColor="text1"/>
          <w:lang w:val="en-US"/>
        </w:rPr>
        <w:t>anding of the sourcing company</w:t>
      </w:r>
      <w:r w:rsidR="006F33CC">
        <w:rPr>
          <w:color w:val="000000" w:themeColor="text1"/>
          <w:lang w:val="en-US"/>
        </w:rPr>
        <w:t xml:space="preserve">, </w:t>
      </w:r>
      <w:r w:rsidR="007C6399">
        <w:rPr>
          <w:color w:val="000000" w:themeColor="text1"/>
          <w:lang w:val="en-US"/>
        </w:rPr>
        <w:t xml:space="preserve">there are some similar properties experienced by in-band and guard-band operations, e.g., channel raster offset. </w:t>
      </w:r>
      <w:r w:rsidR="006F33CC">
        <w:rPr>
          <w:color w:val="000000" w:themeColor="text1"/>
          <w:lang w:val="en-US"/>
        </w:rPr>
        <w:t xml:space="preserve">Therefore, it is not necessary to define three different versions of MIB contents, but to use two versions of MIB contents, one for in-band </w:t>
      </w:r>
      <w:r w:rsidR="007C6399">
        <w:rPr>
          <w:color w:val="000000" w:themeColor="text1"/>
          <w:lang w:val="en-US"/>
        </w:rPr>
        <w:t xml:space="preserve">and guard-band </w:t>
      </w:r>
      <w:r w:rsidR="006F33CC">
        <w:rPr>
          <w:color w:val="000000" w:themeColor="text1"/>
          <w:lang w:val="en-US"/>
        </w:rPr>
        <w:t>operation</w:t>
      </w:r>
      <w:r w:rsidR="007C6399">
        <w:rPr>
          <w:color w:val="000000" w:themeColor="text1"/>
          <w:lang w:val="en-US"/>
        </w:rPr>
        <w:t>s</w:t>
      </w:r>
      <w:r w:rsidR="006F33CC">
        <w:rPr>
          <w:color w:val="000000" w:themeColor="text1"/>
          <w:lang w:val="en-US"/>
        </w:rPr>
        <w:t xml:space="preserve">, and one for stand-alone. And the size of the MIB should be the same for all cases. </w:t>
      </w:r>
    </w:p>
    <w:p w14:paraId="4296BF9A" w14:textId="351A1EB5" w:rsidR="008A4DE6" w:rsidRPr="008A4DE6" w:rsidRDefault="008A4DE6" w:rsidP="002D224A">
      <w:pPr>
        <w:rPr>
          <w:rFonts w:ascii="Times New Roman" w:hAnsi="Times New Roman"/>
          <w:i/>
          <w:color w:val="000000" w:themeColor="text1"/>
          <w:lang w:val="en-US"/>
        </w:rPr>
      </w:pPr>
      <w:r w:rsidRPr="008A4DE6">
        <w:rPr>
          <w:rFonts w:ascii="Times New Roman" w:hAnsi="Times New Roman"/>
          <w:b/>
          <w:i/>
          <w:color w:val="000000" w:themeColor="text1"/>
          <w:lang w:val="en-US"/>
        </w:rPr>
        <w:t xml:space="preserve">Observation 1: </w:t>
      </w:r>
      <w:r w:rsidR="006F33CC">
        <w:rPr>
          <w:rFonts w:ascii="Times New Roman" w:hAnsi="Times New Roman"/>
          <w:i/>
          <w:color w:val="000000" w:themeColor="text1"/>
          <w:lang w:val="en-US"/>
        </w:rPr>
        <w:t>Two versions of MIB contents can be defined, one for in-band</w:t>
      </w:r>
      <w:r w:rsidR="007C6399">
        <w:rPr>
          <w:rFonts w:ascii="Times New Roman" w:hAnsi="Times New Roman"/>
          <w:i/>
          <w:color w:val="000000" w:themeColor="text1"/>
          <w:lang w:val="en-US"/>
        </w:rPr>
        <w:t xml:space="preserve"> and guard-band</w:t>
      </w:r>
      <w:r w:rsidR="006F33CC">
        <w:rPr>
          <w:rFonts w:ascii="Times New Roman" w:hAnsi="Times New Roman"/>
          <w:i/>
          <w:color w:val="000000" w:themeColor="text1"/>
          <w:lang w:val="en-US"/>
        </w:rPr>
        <w:t xml:space="preserve">, one </w:t>
      </w:r>
      <w:r w:rsidR="007C6399">
        <w:rPr>
          <w:rFonts w:ascii="Times New Roman" w:hAnsi="Times New Roman"/>
          <w:i/>
          <w:color w:val="000000" w:themeColor="text1"/>
          <w:lang w:val="en-US"/>
        </w:rPr>
        <w:t xml:space="preserve">for </w:t>
      </w:r>
      <w:r w:rsidR="006F33CC">
        <w:rPr>
          <w:rFonts w:ascii="Times New Roman" w:hAnsi="Times New Roman"/>
          <w:i/>
          <w:color w:val="000000" w:themeColor="text1"/>
          <w:lang w:val="en-US"/>
        </w:rPr>
        <w:t xml:space="preserve">stand-alone operation. </w:t>
      </w:r>
    </w:p>
    <w:p w14:paraId="201BED82" w14:textId="40E1FB6F" w:rsidR="00EC16A8" w:rsidRPr="00E330BC" w:rsidRDefault="006F33CC" w:rsidP="00EC16A8">
      <w:pPr>
        <w:pStyle w:val="Heading1"/>
        <w:numPr>
          <w:ilvl w:val="0"/>
          <w:numId w:val="9"/>
        </w:numPr>
      </w:pPr>
      <w:r>
        <w:t>Remaining issues</w:t>
      </w:r>
      <w:r w:rsidR="00EC16A8">
        <w:t xml:space="preserve"> about MIB contents</w:t>
      </w:r>
    </w:p>
    <w:p w14:paraId="2C9A0396" w14:textId="2B8857C7" w:rsidR="00EC16A8" w:rsidRDefault="00EC16A8" w:rsidP="00EC16A8">
      <w:pPr>
        <w:pStyle w:val="Heading2"/>
        <w:rPr>
          <w:noProof/>
          <w:lang w:val="en-US"/>
        </w:rPr>
      </w:pPr>
      <w:r>
        <w:rPr>
          <w:noProof/>
          <w:lang w:val="en-US"/>
        </w:rPr>
        <w:t>SFN</w:t>
      </w:r>
    </w:p>
    <w:p w14:paraId="3877B907" w14:textId="405CDFA8" w:rsidR="006F33CC" w:rsidRDefault="006F33CC" w:rsidP="002D224A">
      <w:pPr>
        <w:rPr>
          <w:noProof/>
          <w:color w:val="000000" w:themeColor="text1"/>
          <w:lang w:val="en-US"/>
        </w:rPr>
      </w:pPr>
      <w:r>
        <w:rPr>
          <w:noProof/>
          <w:color w:val="000000" w:themeColor="text1"/>
          <w:lang w:val="en-US"/>
        </w:rPr>
        <w:t xml:space="preserve">It was agreed that </w:t>
      </w:r>
      <w:r w:rsidR="00EC16A8">
        <w:rPr>
          <w:noProof/>
          <w:color w:val="000000" w:themeColor="text1"/>
          <w:lang w:val="en-US"/>
        </w:rPr>
        <w:t xml:space="preserve"> </w:t>
      </w:r>
      <w:r>
        <w:rPr>
          <w:noProof/>
          <w:color w:val="000000" w:themeColor="text1"/>
          <w:lang w:val="en-US"/>
        </w:rPr>
        <w:t>“t</w:t>
      </w:r>
      <w:r w:rsidRPr="006F33CC">
        <w:rPr>
          <w:noProof/>
          <w:color w:val="000000" w:themeColor="text1"/>
          <w:lang w:val="en-US"/>
        </w:rPr>
        <w:t>he 4 most significant bits of NB-IoT SFN are indicated in NB-MIB</w:t>
      </w:r>
      <w:r>
        <w:rPr>
          <w:noProof/>
          <w:color w:val="000000" w:themeColor="text1"/>
          <w:lang w:val="en-US"/>
        </w:rPr>
        <w:t xml:space="preserve">”. </w:t>
      </w:r>
      <w:r w:rsidR="00F4325A">
        <w:rPr>
          <w:noProof/>
          <w:color w:val="000000" w:themeColor="text1"/>
          <w:lang w:val="en-US"/>
        </w:rPr>
        <w:t xml:space="preserve">However, whether to include </w:t>
      </w:r>
      <w:r w:rsidR="00F4325A" w:rsidRPr="00F4325A">
        <w:rPr>
          <w:noProof/>
          <w:color w:val="000000" w:themeColor="text1"/>
          <w:lang w:val="en-US"/>
        </w:rPr>
        <w:t>HyperSFN</w:t>
      </w:r>
      <w:r w:rsidR="00F4325A">
        <w:rPr>
          <w:noProof/>
          <w:color w:val="000000" w:themeColor="text1"/>
          <w:lang w:val="en-US"/>
        </w:rPr>
        <w:t xml:space="preserve"> is still an open issue. </w:t>
      </w:r>
      <w:r w:rsidR="00F4325A" w:rsidRPr="00F4325A">
        <w:rPr>
          <w:noProof/>
          <w:color w:val="000000" w:themeColor="text1"/>
          <w:lang w:val="en-US"/>
        </w:rPr>
        <w:t xml:space="preserve">In RAN1 simualtions, we have shown that NB-MIB can support 34-bit payload, and therefore, we can also </w:t>
      </w:r>
      <w:r w:rsidR="00E36E54" w:rsidRPr="00E36E54">
        <w:rPr>
          <w:noProof/>
          <w:color w:val="000000" w:themeColor="text1"/>
          <w:lang w:val="en-US"/>
        </w:rPr>
        <w:t xml:space="preserve">accommodate </w:t>
      </w:r>
      <w:r w:rsidR="00F4325A" w:rsidRPr="00F4325A">
        <w:rPr>
          <w:noProof/>
          <w:color w:val="000000" w:themeColor="text1"/>
          <w:lang w:val="en-US"/>
        </w:rPr>
        <w:t>partial or the entire HyperSFN in the MIB if necessary. However, the details should based on the input from RAN2.</w:t>
      </w:r>
    </w:p>
    <w:p w14:paraId="1ADCD6CF" w14:textId="00569FF3" w:rsidR="008C3515" w:rsidRPr="008C3515" w:rsidRDefault="009D5065" w:rsidP="008C3515">
      <w:pPr>
        <w:rPr>
          <w:noProof/>
          <w:color w:val="000000" w:themeColor="text1"/>
          <w:lang w:val="en-US"/>
        </w:rPr>
      </w:pPr>
      <w:r w:rsidRPr="009D5065">
        <w:rPr>
          <w:rFonts w:ascii="Times New Roman" w:hAnsi="Times New Roman"/>
          <w:b/>
          <w:i/>
          <w:noProof/>
          <w:color w:val="000000" w:themeColor="text1"/>
          <w:lang w:val="en-US"/>
        </w:rPr>
        <w:t xml:space="preserve">Observation </w:t>
      </w:r>
      <w:r w:rsidR="00F4325A">
        <w:rPr>
          <w:rFonts w:ascii="Times New Roman" w:hAnsi="Times New Roman"/>
          <w:b/>
          <w:i/>
          <w:noProof/>
          <w:color w:val="000000" w:themeColor="text1"/>
          <w:lang w:val="en-US"/>
        </w:rPr>
        <w:t>2</w:t>
      </w:r>
      <w:r w:rsidRPr="009D5065">
        <w:rPr>
          <w:rFonts w:ascii="Times New Roman" w:hAnsi="Times New Roman"/>
          <w:b/>
          <w:i/>
          <w:noProof/>
          <w:color w:val="000000" w:themeColor="text1"/>
          <w:lang w:val="en-US"/>
        </w:rPr>
        <w:t>:</w:t>
      </w:r>
      <w:r w:rsidRPr="009D5065">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If necessary, partial or entire Hy</w:t>
      </w:r>
      <w:r w:rsidR="00F4325A">
        <w:rPr>
          <w:rFonts w:ascii="Times New Roman" w:hAnsi="Times New Roman"/>
          <w:i/>
          <w:noProof/>
          <w:color w:val="000000" w:themeColor="text1"/>
          <w:lang w:val="en-US"/>
        </w:rPr>
        <w:t xml:space="preserve">perSFN can be placed in NB-MIB based on input from RAN2. </w:t>
      </w:r>
    </w:p>
    <w:p w14:paraId="25298091" w14:textId="45FD05F9" w:rsidR="008C3515" w:rsidRDefault="00E83E06" w:rsidP="008C3515">
      <w:pPr>
        <w:pStyle w:val="Heading2"/>
        <w:rPr>
          <w:noProof/>
          <w:lang w:val="en-US"/>
        </w:rPr>
      </w:pPr>
      <w:r>
        <w:rPr>
          <w:noProof/>
          <w:lang w:val="en-US"/>
        </w:rPr>
        <w:t>Operation mode indicat</w:t>
      </w:r>
      <w:r w:rsidR="00E36E54">
        <w:rPr>
          <w:noProof/>
          <w:lang w:val="en-US"/>
        </w:rPr>
        <w:t>o</w:t>
      </w:r>
      <w:r>
        <w:rPr>
          <w:noProof/>
          <w:lang w:val="en-US"/>
        </w:rPr>
        <w:t xml:space="preserve">in, </w:t>
      </w:r>
      <w:r w:rsidR="008C3515" w:rsidRPr="008C3515">
        <w:rPr>
          <w:noProof/>
          <w:lang w:val="en-US"/>
        </w:rPr>
        <w:t>LTE CRS information</w:t>
      </w:r>
      <w:r w:rsidR="008C3515">
        <w:rPr>
          <w:noProof/>
          <w:lang w:val="en-US"/>
        </w:rPr>
        <w:t xml:space="preserve">, </w:t>
      </w:r>
      <w:r w:rsidR="008836D9">
        <w:rPr>
          <w:noProof/>
          <w:lang w:val="en-US"/>
        </w:rPr>
        <w:t xml:space="preserve">Raster offset, </w:t>
      </w:r>
      <w:r w:rsidR="008C3515">
        <w:rPr>
          <w:noProof/>
          <w:lang w:val="en-US"/>
        </w:rPr>
        <w:t xml:space="preserve">and </w:t>
      </w:r>
      <w:r w:rsidR="008C3515" w:rsidRPr="008C3515">
        <w:rPr>
          <w:noProof/>
          <w:lang w:val="en-US"/>
        </w:rPr>
        <w:t>system BW</w:t>
      </w:r>
    </w:p>
    <w:p w14:paraId="2D367AE8" w14:textId="29D22155" w:rsidR="00AD36F9" w:rsidRDefault="00E36E54" w:rsidP="002D224A">
      <w:pPr>
        <w:rPr>
          <w:noProof/>
          <w:color w:val="000000" w:themeColor="text1"/>
          <w:lang w:val="en-US"/>
        </w:rPr>
      </w:pPr>
      <w:r w:rsidRPr="00E36E54">
        <w:rPr>
          <w:noProof/>
          <w:color w:val="000000" w:themeColor="text1"/>
          <w:lang w:val="en-US"/>
        </w:rPr>
        <w:t xml:space="preserve">Regarding </w:t>
      </w:r>
      <w:r w:rsidR="00AD36F9">
        <w:rPr>
          <w:noProof/>
          <w:color w:val="000000" w:themeColor="text1"/>
          <w:lang w:val="en-US"/>
        </w:rPr>
        <w:t>the LTE CRS information, the following are agreed</w:t>
      </w:r>
    </w:p>
    <w:p w14:paraId="3C2CFDD9" w14:textId="77777777" w:rsidR="00AD36F9" w:rsidRDefault="00AD36F9" w:rsidP="002D224A">
      <w:pPr>
        <w:rPr>
          <w:noProof/>
          <w:color w:val="000000" w:themeColor="text1"/>
          <w:lang w:val="en-US"/>
        </w:rPr>
      </w:pPr>
      <w:r>
        <w:rPr>
          <w:noProof/>
          <w:color w:val="000000" w:themeColor="text1"/>
          <w:lang w:val="en-US"/>
        </w:rPr>
        <w:t>“</w:t>
      </w:r>
    </w:p>
    <w:p w14:paraId="11C284F9" w14:textId="77777777" w:rsidR="00AD36F9" w:rsidRPr="00C225FA" w:rsidRDefault="00AD36F9" w:rsidP="00AD36F9">
      <w:pPr>
        <w:pStyle w:val="ListParagraph"/>
        <w:numPr>
          <w:ilvl w:val="1"/>
          <w:numId w:val="46"/>
        </w:numPr>
        <w:rPr>
          <w:rFonts w:ascii="Times" w:eastAsia="MS Mincho" w:hAnsi="Times" w:cs="Times"/>
          <w:lang w:val="en-US"/>
        </w:rPr>
      </w:pPr>
      <w:r w:rsidRPr="00C225FA">
        <w:rPr>
          <w:rFonts w:ascii="Times" w:eastAsia="MS Mincho" w:hAnsi="Times" w:cs="Times"/>
          <w:lang w:val="en-US"/>
        </w:rPr>
        <w:t xml:space="preserve">Information to obtain CRS sequence (only needed if same-PCI indicator is set to true), and a same-PCI indicator (to indicate whether or not LTE PCI and NB-IoT PCI are the same) are indicated in NB-MIB </w:t>
      </w:r>
    </w:p>
    <w:p w14:paraId="6E73FCF3" w14:textId="77777777" w:rsidR="00AD36F9" w:rsidRPr="00C225FA" w:rsidRDefault="00AD36F9" w:rsidP="00AD36F9">
      <w:pPr>
        <w:pStyle w:val="ListParagraph"/>
        <w:numPr>
          <w:ilvl w:val="2"/>
          <w:numId w:val="46"/>
        </w:numPr>
        <w:rPr>
          <w:rFonts w:ascii="Times" w:eastAsia="MS Mincho" w:hAnsi="Times" w:cs="Times"/>
          <w:lang w:val="en-US"/>
        </w:rPr>
      </w:pPr>
      <w:r w:rsidRPr="00C225FA">
        <w:rPr>
          <w:rFonts w:ascii="Times" w:eastAsia="MS Mincho" w:hAnsi="Times" w:cs="Times"/>
          <w:lang w:val="en-US"/>
        </w:rPr>
        <w:t>Note that this working assumption is related to the working assumption regarding the potential usage of LTE CRS for demodulation</w:t>
      </w:r>
    </w:p>
    <w:p w14:paraId="72BBF4D4" w14:textId="77777777" w:rsidR="00AD36F9" w:rsidRPr="00C225FA" w:rsidRDefault="00AD36F9" w:rsidP="00AD36F9">
      <w:pPr>
        <w:pStyle w:val="ListParagraph"/>
        <w:numPr>
          <w:ilvl w:val="1"/>
          <w:numId w:val="46"/>
        </w:numPr>
        <w:rPr>
          <w:rFonts w:ascii="Times" w:eastAsia="MS Mincho" w:hAnsi="Times" w:cs="Times"/>
          <w:lang w:val="en-US"/>
        </w:rPr>
      </w:pPr>
      <w:r w:rsidRPr="00C225FA">
        <w:rPr>
          <w:rFonts w:ascii="Times" w:eastAsia="MS Mincho" w:hAnsi="Times" w:cs="Times"/>
          <w:lang w:val="en-US"/>
        </w:rPr>
        <w:t>FFS whether same-PCI indicator and PRB index are always present, or only in in-band case</w:t>
      </w:r>
    </w:p>
    <w:p w14:paraId="6C13CCCC" w14:textId="77777777" w:rsidR="00AD36F9" w:rsidRDefault="00AD36F9" w:rsidP="002D224A">
      <w:pPr>
        <w:rPr>
          <w:noProof/>
          <w:color w:val="000000" w:themeColor="text1"/>
          <w:lang w:val="en-US"/>
        </w:rPr>
      </w:pPr>
    </w:p>
    <w:p w14:paraId="48D23C25" w14:textId="25132F8C" w:rsidR="00AD36F9" w:rsidRDefault="00AD36F9" w:rsidP="002D224A">
      <w:pPr>
        <w:rPr>
          <w:noProof/>
          <w:color w:val="000000" w:themeColor="text1"/>
          <w:lang w:val="en-US"/>
        </w:rPr>
      </w:pPr>
      <w:r>
        <w:rPr>
          <w:noProof/>
          <w:color w:val="000000" w:themeColor="text1"/>
          <w:lang w:val="en-US"/>
        </w:rPr>
        <w:t>”</w:t>
      </w:r>
    </w:p>
    <w:p w14:paraId="1E15E3D6" w14:textId="2D7C6C76" w:rsidR="00AD36F9" w:rsidRDefault="00B41DD2" w:rsidP="002D224A">
      <w:pPr>
        <w:rPr>
          <w:noProof/>
          <w:color w:val="000000" w:themeColor="text1"/>
          <w:lang w:val="en-US"/>
        </w:rPr>
      </w:pPr>
      <w:r w:rsidRPr="00B41DD2">
        <w:rPr>
          <w:noProof/>
          <w:color w:val="000000" w:themeColor="text1"/>
          <w:lang w:val="en-US"/>
        </w:rPr>
        <w:t>For the in-band operation, LTE CRS can be used by the NB-IoT devices to improve the channel estmiation. As it is agreed that the information to obtain CRS sequence is included in MIB</w:t>
      </w:r>
      <w:r>
        <w:rPr>
          <w:noProof/>
          <w:color w:val="000000" w:themeColor="text1"/>
          <w:lang w:val="en-US"/>
        </w:rPr>
        <w:t xml:space="preserve">, the MIB needs to include the same-PCI indicator and the PRB index. As we have </w:t>
      </w:r>
      <w:r w:rsidR="007C6399">
        <w:rPr>
          <w:noProof/>
          <w:color w:val="000000" w:themeColor="text1"/>
          <w:lang w:val="en-US"/>
        </w:rPr>
        <w:t>two</w:t>
      </w:r>
      <w:r>
        <w:rPr>
          <w:noProof/>
          <w:color w:val="000000" w:themeColor="text1"/>
          <w:lang w:val="en-US"/>
        </w:rPr>
        <w:t xml:space="preserve"> different </w:t>
      </w:r>
      <w:r w:rsidR="007C6399">
        <w:rPr>
          <w:noProof/>
          <w:color w:val="000000" w:themeColor="text1"/>
          <w:lang w:val="en-US"/>
        </w:rPr>
        <w:t>versions of MIB, 1 bit is</w:t>
      </w:r>
      <w:r>
        <w:rPr>
          <w:noProof/>
          <w:color w:val="000000" w:themeColor="text1"/>
          <w:lang w:val="en-US"/>
        </w:rPr>
        <w:t xml:space="preserve"> needed for mode indication. </w:t>
      </w:r>
      <w:r w:rsidR="007C6399">
        <w:rPr>
          <w:noProof/>
          <w:color w:val="000000" w:themeColor="text1"/>
          <w:lang w:val="en-US"/>
        </w:rPr>
        <w:t>And 1 bit is need for</w:t>
      </w:r>
      <w:r>
        <w:rPr>
          <w:noProof/>
          <w:color w:val="000000" w:themeColor="text1"/>
          <w:lang w:val="en-US"/>
        </w:rPr>
        <w:t xml:space="preserve"> the same-PCI indicator. </w:t>
      </w:r>
    </w:p>
    <w:p w14:paraId="3A82D1D2" w14:textId="55BF74D1" w:rsidR="00AE535F" w:rsidRPr="00AE535F" w:rsidRDefault="00AE535F" w:rsidP="002D224A">
      <w:pPr>
        <w:rPr>
          <w:noProof/>
          <w:color w:val="000000" w:themeColor="text1"/>
          <w:lang w:val="en-US"/>
        </w:rPr>
      </w:pPr>
      <w:r>
        <w:rPr>
          <w:noProof/>
          <w:color w:val="000000" w:themeColor="text1"/>
          <w:lang w:val="en-US"/>
        </w:rPr>
        <w:t xml:space="preserve">For guard-band and in-band operations, the channel raster needs to be indicated. </w:t>
      </w:r>
      <w:r w:rsidR="00C225A1" w:rsidRPr="00C225A1">
        <w:rPr>
          <w:noProof/>
          <w:color w:val="000000" w:themeColor="text1"/>
          <w:lang w:val="en-US"/>
        </w:rPr>
        <w:t>The values of raster offset would be -2.5 kHz, +2.5 kHz, -7.5 kHz, +7.5 kHz.</w:t>
      </w:r>
      <w:r w:rsidR="00C225A1">
        <w:rPr>
          <w:noProof/>
          <w:color w:val="000000" w:themeColor="text1"/>
          <w:lang w:val="en-US"/>
        </w:rPr>
        <w:t xml:space="preserve"> </w:t>
      </w:r>
      <w:r w:rsidR="00E84AD6">
        <w:rPr>
          <w:noProof/>
          <w:color w:val="000000" w:themeColor="text1"/>
          <w:lang w:val="en-US"/>
        </w:rPr>
        <w:t>However, only the absolute value need to be signaled, and therefore, only 1 bit is needed. We discuss this in mor</w:t>
      </w:r>
      <w:r w:rsidR="008F7DD6">
        <w:rPr>
          <w:noProof/>
          <w:color w:val="000000" w:themeColor="text1"/>
          <w:lang w:val="en-US"/>
        </w:rPr>
        <w:t>e</w:t>
      </w:r>
      <w:r w:rsidR="00E84AD6">
        <w:rPr>
          <w:noProof/>
          <w:color w:val="000000" w:themeColor="text1"/>
          <w:lang w:val="en-US"/>
        </w:rPr>
        <w:t xml:space="preserve"> details in the following paraghraph. </w:t>
      </w:r>
    </w:p>
    <w:p w14:paraId="147C99CF" w14:textId="204CEE6D" w:rsidR="00B41DD2" w:rsidRDefault="00A64645" w:rsidP="002D224A">
      <w:pPr>
        <w:rPr>
          <w:noProof/>
          <w:color w:val="000000" w:themeColor="text1"/>
          <w:lang w:val="en-US"/>
        </w:rPr>
      </w:pPr>
      <w:r>
        <w:rPr>
          <w:noProof/>
          <w:color w:val="000000" w:themeColor="text1"/>
          <w:lang w:val="en-US"/>
        </w:rPr>
        <w:t xml:space="preserve">The LTE CRS posistions </w:t>
      </w:r>
      <w:r w:rsidR="007C6399">
        <w:rPr>
          <w:noProof/>
          <w:color w:val="000000" w:themeColor="text1"/>
          <w:lang w:val="en-US"/>
        </w:rPr>
        <w:t xml:space="preserve">in frequency domain </w:t>
      </w:r>
      <w:r>
        <w:rPr>
          <w:noProof/>
          <w:color w:val="000000" w:themeColor="text1"/>
          <w:lang w:val="en-US"/>
        </w:rPr>
        <w:t xml:space="preserve">can be derived from the PCID, and </w:t>
      </w:r>
      <w:r w:rsidR="00D4699A" w:rsidRPr="00D4699A">
        <w:rPr>
          <w:noProof/>
          <w:color w:val="000000" w:themeColor="text1"/>
          <w:lang w:val="en-US"/>
        </w:rPr>
        <w:t>it is agreed in RAN1 NB-IoT Ad Hoc that “Note that the PCID from NB-SSS and the LTE PCID indicate the same LTE CRS position”.</w:t>
      </w:r>
      <w:r w:rsidR="00D4699A">
        <w:rPr>
          <w:noProof/>
          <w:color w:val="000000" w:themeColor="text1"/>
          <w:lang w:val="en-US"/>
        </w:rPr>
        <w:t xml:space="preserve"> </w:t>
      </w:r>
      <w:r w:rsidR="002E6AA2">
        <w:rPr>
          <w:noProof/>
          <w:color w:val="000000" w:themeColor="text1"/>
          <w:lang w:val="en-US"/>
        </w:rPr>
        <w:t xml:space="preserve">Therefore, </w:t>
      </w:r>
      <w:r w:rsidR="00B41DD2">
        <w:rPr>
          <w:noProof/>
          <w:color w:val="000000" w:themeColor="text1"/>
          <w:lang w:val="en-US"/>
        </w:rPr>
        <w:t>in order to obtain the</w:t>
      </w:r>
      <w:r w:rsidR="007C6399">
        <w:rPr>
          <w:noProof/>
          <w:color w:val="000000" w:themeColor="text1"/>
          <w:lang w:val="en-US"/>
        </w:rPr>
        <w:t xml:space="preserve"> exact</w:t>
      </w:r>
      <w:r w:rsidR="00B41DD2">
        <w:rPr>
          <w:noProof/>
          <w:color w:val="000000" w:themeColor="text1"/>
          <w:lang w:val="en-US"/>
        </w:rPr>
        <w:t xml:space="preserve"> LTE CRS information, the PRB position of the NB-IoT system needs to be indicated. Notice, the LTE CRS is gener</w:t>
      </w:r>
      <w:r w:rsidR="00592A6C">
        <w:rPr>
          <w:noProof/>
          <w:color w:val="000000" w:themeColor="text1"/>
          <w:lang w:val="en-US"/>
        </w:rPr>
        <w:t xml:space="preserve">ated in the manner as follows </w:t>
      </w:r>
      <w:r w:rsidR="00592A6C">
        <w:rPr>
          <w:noProof/>
          <w:color w:val="000000" w:themeColor="text1"/>
          <w:lang w:val="en-US"/>
        </w:rPr>
        <w:fldChar w:fldCharType="begin"/>
      </w:r>
      <w:r w:rsidR="00592A6C">
        <w:rPr>
          <w:noProof/>
          <w:color w:val="000000" w:themeColor="text1"/>
          <w:lang w:val="en-US"/>
        </w:rPr>
        <w:instrText xml:space="preserve"> REF _Ref445727339 \n \h </w:instrText>
      </w:r>
      <w:r w:rsidR="00592A6C">
        <w:rPr>
          <w:noProof/>
          <w:color w:val="000000" w:themeColor="text1"/>
          <w:lang w:val="en-US"/>
        </w:rPr>
      </w:r>
      <w:r w:rsidR="00592A6C">
        <w:rPr>
          <w:noProof/>
          <w:color w:val="000000" w:themeColor="text1"/>
          <w:lang w:val="en-US"/>
        </w:rPr>
        <w:fldChar w:fldCharType="separate"/>
      </w:r>
      <w:r w:rsidR="00002708">
        <w:rPr>
          <w:noProof/>
          <w:color w:val="000000" w:themeColor="text1"/>
          <w:lang w:val="en-US"/>
        </w:rPr>
        <w:t>[4]</w:t>
      </w:r>
      <w:r w:rsidR="00592A6C">
        <w:rPr>
          <w:noProof/>
          <w:color w:val="000000" w:themeColor="text1"/>
          <w:lang w:val="en-US"/>
        </w:rPr>
        <w:fldChar w:fldCharType="end"/>
      </w:r>
      <w:r w:rsidR="00B41DD2">
        <w:rPr>
          <w:noProof/>
          <w:color w:val="000000" w:themeColor="text1"/>
          <w:lang w:val="en-US"/>
        </w:rPr>
        <w:t xml:space="preserve">. </w:t>
      </w:r>
    </w:p>
    <w:p w14:paraId="45949838" w14:textId="17E444F0" w:rsidR="00E84AD6" w:rsidRDefault="00E84AD6" w:rsidP="00E84AD6">
      <w:r>
        <w:t>“</w:t>
      </w:r>
    </w:p>
    <w:p w14:paraId="682B6F90" w14:textId="77777777" w:rsidR="00E84AD6" w:rsidRDefault="00E84AD6" w:rsidP="00E84AD6">
      <w:r>
        <w:t xml:space="preserve">The reference-signal sequence </w:t>
      </w:r>
      <w:r w:rsidRPr="00271B5A">
        <w:rPr>
          <w:position w:val="-14"/>
        </w:rPr>
        <w:object w:dxaOrig="660" w:dyaOrig="340" w14:anchorId="3DCE6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6.9pt" o:ole="">
            <v:imagedata r:id="rId9" o:title=""/>
          </v:shape>
          <o:OLEObject Type="Embed" ProgID="Equation.3" ShapeID="_x0000_i1025" DrawAspect="Content" ObjectID="_1519658670" r:id="rId10"/>
        </w:object>
      </w:r>
      <w:r>
        <w:t xml:space="preserve"> is defined by</w:t>
      </w:r>
    </w:p>
    <w:p w14:paraId="6563D861" w14:textId="77777777" w:rsidR="00E84AD6" w:rsidRDefault="00E84AD6" w:rsidP="00E84AD6">
      <w:pPr>
        <w:pStyle w:val="EQ"/>
        <w:jc w:val="center"/>
      </w:pPr>
      <w:r w:rsidRPr="002B3D79">
        <w:rPr>
          <w:position w:val="-26"/>
        </w:rPr>
        <w:object w:dxaOrig="6259" w:dyaOrig="600" w14:anchorId="3288A89D">
          <v:shape id="_x0000_i1026" type="#_x0000_t75" style="width:312.4pt;height:30.05pt" o:ole="">
            <v:imagedata r:id="rId11" o:title=""/>
          </v:shape>
          <o:OLEObject Type="Embed" ProgID="Equation.3" ShapeID="_x0000_i1026" DrawAspect="Content" ObjectID="_1519658671" r:id="rId12"/>
        </w:object>
      </w:r>
    </w:p>
    <w:p w14:paraId="4270DEC0" w14:textId="77777777" w:rsidR="00E84AD6" w:rsidRDefault="00E84AD6" w:rsidP="00E84AD6">
      <w:proofErr w:type="gramStart"/>
      <w:r>
        <w:lastRenderedPageBreak/>
        <w:t>where</w:t>
      </w:r>
      <w:proofErr w:type="gramEnd"/>
      <w:r>
        <w:t xml:space="preserve"> </w:t>
      </w:r>
      <w:r w:rsidRPr="00D91323">
        <w:rPr>
          <w:position w:val="-10"/>
        </w:rPr>
        <w:object w:dxaOrig="240" w:dyaOrig="300" w14:anchorId="3FB95D69">
          <v:shape id="_x0000_i1027" type="#_x0000_t75" style="width:11.9pt;height:15.05pt" o:ole="">
            <v:imagedata r:id="rId13" o:title=""/>
          </v:shape>
          <o:OLEObject Type="Embed" ProgID="Equation.3" ShapeID="_x0000_i1027" DrawAspect="Content" ObjectID="_1519658672" r:id="rId14"/>
        </w:object>
      </w:r>
      <w:r>
        <w:t xml:space="preserve"> is the slot number within a radio frame and </w:t>
      </w:r>
      <w:r w:rsidRPr="00271B5A">
        <w:rPr>
          <w:position w:val="-6"/>
        </w:rPr>
        <w:object w:dxaOrig="139" w:dyaOrig="260" w14:anchorId="45415ED5">
          <v:shape id="_x0000_i1028" type="#_x0000_t75" style="width:6.9pt;height:13.15pt" o:ole="">
            <v:imagedata r:id="rId15" o:title=""/>
          </v:shape>
          <o:OLEObject Type="Embed" ProgID="Equation.3" ShapeID="_x0000_i1028" DrawAspect="Content" ObjectID="_1519658673" r:id="rId16"/>
        </w:object>
      </w:r>
      <w:r>
        <w:t xml:space="preserve"> is the OFDM symbol number within the slot. The pseudo-random sequence </w:t>
      </w:r>
      <w:r w:rsidRPr="00516521">
        <w:rPr>
          <w:position w:val="-10"/>
        </w:rPr>
        <w:object w:dxaOrig="360" w:dyaOrig="300" w14:anchorId="77DFFB79">
          <v:shape id="_x0000_i1029" type="#_x0000_t75" style="width:18.15pt;height:15.05pt" o:ole="">
            <v:imagedata r:id="rId17" o:title=""/>
          </v:shape>
          <o:OLEObject Type="Embed" ProgID="Equation.3" ShapeID="_x0000_i1029" DrawAspect="Content" ObjectID="_1519658674" r:id="rId18"/>
        </w:object>
      </w:r>
      <w:r>
        <w:t xml:space="preserve"> is defined in clause 7.2.</w:t>
      </w:r>
      <w:r w:rsidRPr="006916E5">
        <w:t xml:space="preserve"> </w:t>
      </w:r>
      <w:r>
        <w:t xml:space="preserve">The pseudo-random sequence generator shall be initialised with </w:t>
      </w:r>
      <w:r>
        <w:rPr>
          <w:position w:val="-10"/>
        </w:rPr>
        <w:object w:dxaOrig="4620" w:dyaOrig="340" w14:anchorId="66BF58F3">
          <v:shape id="_x0000_i1030" type="#_x0000_t75" style="width:231.05pt;height:16.9pt" o:ole="">
            <v:imagedata r:id="rId19" o:title=""/>
          </v:shape>
          <o:OLEObject Type="Embed" ProgID="Equation.3" ShapeID="_x0000_i1030" DrawAspect="Content" ObjectID="_1519658675" r:id="rId20"/>
        </w:object>
      </w:r>
      <w:r>
        <w:t xml:space="preserve"> at the start of each OFDM symbol where </w:t>
      </w:r>
    </w:p>
    <w:p w14:paraId="47AC7341" w14:textId="7F1E3999" w:rsidR="00E84AD6" w:rsidRDefault="00E84AD6" w:rsidP="00E84AD6">
      <w:pPr>
        <w:rPr>
          <w:noProof/>
          <w:color w:val="000000" w:themeColor="text1"/>
          <w:lang w:val="en-US"/>
        </w:rPr>
      </w:pPr>
      <w:r w:rsidRPr="006232A5">
        <w:rPr>
          <w:position w:val="-60"/>
        </w:rPr>
        <w:object w:dxaOrig="7040" w:dyaOrig="1300" w14:anchorId="55C45631">
          <v:shape id="_x0000_i1031" type="#_x0000_t75" style="width:351.25pt;height:64.5pt" o:ole="">
            <v:imagedata r:id="rId21" o:title=""/>
          </v:shape>
          <o:OLEObject Type="Embed" ProgID="Equation.3" ShapeID="_x0000_i1031" DrawAspect="Content" ObjectID="_1519658676" r:id="rId22"/>
        </w:object>
      </w:r>
    </w:p>
    <w:p w14:paraId="3F8021C6" w14:textId="77777777" w:rsidR="00E84AD6" w:rsidRPr="00C12953" w:rsidRDefault="00E84AD6" w:rsidP="00E84AD6">
      <w:r w:rsidRPr="00C12953">
        <w:t xml:space="preserve">The reference signal sequence </w:t>
      </w:r>
      <w:r w:rsidRPr="00271B5A">
        <w:rPr>
          <w:position w:val="-14"/>
        </w:rPr>
        <w:object w:dxaOrig="660" w:dyaOrig="340" w14:anchorId="37D44040">
          <v:shape id="_x0000_i1032" type="#_x0000_t75" style="width:32.55pt;height:16.9pt" o:ole="">
            <v:imagedata r:id="rId9" o:title=""/>
          </v:shape>
          <o:OLEObject Type="Embed" ProgID="Equation.3" ShapeID="_x0000_i1032" DrawAspect="Content" ObjectID="_1519658677" r:id="rId23"/>
        </w:object>
      </w:r>
      <w:r w:rsidRPr="00C12953">
        <w:t xml:space="preserve"> shall be mapped to complex-valued modulation symbols </w:t>
      </w:r>
      <w:r w:rsidRPr="00C12953">
        <w:rPr>
          <w:position w:val="-14"/>
        </w:rPr>
        <w:object w:dxaOrig="400" w:dyaOrig="380" w14:anchorId="64B1AA45">
          <v:shape id="_x0000_i1033" type="#_x0000_t75" style="width:20.65pt;height:18.8pt" o:ole="">
            <v:imagedata r:id="rId24" o:title=""/>
          </v:shape>
          <o:OLEObject Type="Embed" ProgID="Equation.3" ShapeID="_x0000_i1033" DrawAspect="Content" ObjectID="_1519658678" r:id="rId25"/>
        </w:object>
      </w:r>
      <w:r w:rsidRPr="00C12953">
        <w:t xml:space="preserve"> </w:t>
      </w:r>
      <w:r>
        <w:t xml:space="preserve">used as reference symbols </w:t>
      </w:r>
      <w:r w:rsidRPr="00C12953">
        <w:t xml:space="preserve">for </w:t>
      </w:r>
      <w:r>
        <w:t>antenna port</w:t>
      </w:r>
      <w:r w:rsidRPr="00C12953">
        <w:t xml:space="preserve"> </w:t>
      </w:r>
      <w:r w:rsidRPr="00C12953">
        <w:rPr>
          <w:position w:val="-10"/>
        </w:rPr>
        <w:object w:dxaOrig="200" w:dyaOrig="240" w14:anchorId="0EDDFCCD">
          <v:shape id="_x0000_i1034" type="#_x0000_t75" style="width:9.4pt;height:11.9pt" o:ole="">
            <v:imagedata r:id="rId26" o:title=""/>
          </v:shape>
          <o:OLEObject Type="Embed" ProgID="Equation.3" ShapeID="_x0000_i1034" DrawAspect="Content" ObjectID="_1519658679" r:id="rId27"/>
        </w:object>
      </w:r>
      <w:r w:rsidRPr="00C12953">
        <w:t xml:space="preserve"> </w:t>
      </w:r>
      <w:r>
        <w:t xml:space="preserve">in slot </w:t>
      </w:r>
      <w:r w:rsidRPr="00D91323">
        <w:rPr>
          <w:position w:val="-10"/>
        </w:rPr>
        <w:object w:dxaOrig="240" w:dyaOrig="300" w14:anchorId="7537EEE1">
          <v:shape id="_x0000_i1035" type="#_x0000_t75" style="width:11.9pt;height:15.05pt" o:ole="">
            <v:imagedata r:id="rId13" o:title=""/>
          </v:shape>
          <o:OLEObject Type="Embed" ProgID="Equation.3" ShapeID="_x0000_i1035" DrawAspect="Content" ObjectID="_1519658680" r:id="rId28"/>
        </w:object>
      </w:r>
      <w:r>
        <w:t xml:space="preserve"> </w:t>
      </w:r>
      <w:r w:rsidRPr="00C12953">
        <w:t xml:space="preserve">according to </w:t>
      </w:r>
    </w:p>
    <w:p w14:paraId="319C75E2" w14:textId="77777777" w:rsidR="00E84AD6" w:rsidRPr="00C12953" w:rsidRDefault="00E84AD6" w:rsidP="00E84AD6">
      <w:pPr>
        <w:pStyle w:val="EQ"/>
        <w:jc w:val="center"/>
      </w:pPr>
      <w:r w:rsidRPr="00C12953">
        <w:rPr>
          <w:position w:val="-14"/>
        </w:rPr>
        <w:object w:dxaOrig="1260" w:dyaOrig="380" w14:anchorId="7DD42698">
          <v:shape id="_x0000_i1036" type="#_x0000_t75" style="width:62.6pt;height:18.8pt" o:ole="">
            <v:imagedata r:id="rId29" o:title=""/>
          </v:shape>
          <o:OLEObject Type="Embed" ProgID="Equation.3" ShapeID="_x0000_i1036" DrawAspect="Content" ObjectID="_1519658681" r:id="rId30"/>
        </w:object>
      </w:r>
    </w:p>
    <w:p w14:paraId="5A63277B" w14:textId="77777777" w:rsidR="00E84AD6" w:rsidRPr="00C12953" w:rsidRDefault="00E84AD6" w:rsidP="00E84AD6">
      <w:proofErr w:type="gramStart"/>
      <w:r w:rsidRPr="00C12953">
        <w:t>where</w:t>
      </w:r>
      <w:proofErr w:type="gramEnd"/>
    </w:p>
    <w:p w14:paraId="28EE855B" w14:textId="77777777" w:rsidR="00E84AD6" w:rsidRDefault="00042998" w:rsidP="00E84AD6">
      <w:pPr>
        <w:pStyle w:val="EQ"/>
        <w:jc w:val="center"/>
      </w:pPr>
      <w:r w:rsidRPr="00247C85">
        <w:rPr>
          <w:position w:val="-90"/>
        </w:rPr>
        <w:object w:dxaOrig="2960" w:dyaOrig="1920" w14:anchorId="4ED994F9">
          <v:shape id="_x0000_i1037" type="#_x0000_t75" style="width:148.4pt;height:95.8pt" o:ole="">
            <v:imagedata r:id="rId31" o:title=""/>
          </v:shape>
          <o:OLEObject Type="Embed" ProgID="Equation.3" ShapeID="_x0000_i1037" DrawAspect="Content" ObjectID="_1519658682" r:id="rId32"/>
        </w:object>
      </w:r>
    </w:p>
    <w:p w14:paraId="617ECE92" w14:textId="77777777" w:rsidR="00E84AD6" w:rsidRPr="00C12953" w:rsidRDefault="00E84AD6" w:rsidP="00E84AD6">
      <w:r w:rsidRPr="00C12953">
        <w:t>The variable</w:t>
      </w:r>
      <w:r>
        <w:t>s</w:t>
      </w:r>
      <w:r w:rsidRPr="00C12953">
        <w:t xml:space="preserve"> </w:t>
      </w:r>
      <w:r w:rsidRPr="00EE508F">
        <w:rPr>
          <w:position w:val="-6"/>
        </w:rPr>
        <w:object w:dxaOrig="160" w:dyaOrig="200" w14:anchorId="0C34E2C3">
          <v:shape id="_x0000_i1038" type="#_x0000_t75" style="width:8.15pt;height:9.4pt" o:ole="">
            <v:imagedata r:id="rId33" o:title=""/>
          </v:shape>
          <o:OLEObject Type="Embed" ProgID="Equation.3" ShapeID="_x0000_i1038" DrawAspect="Content" ObjectID="_1519658683" r:id="rId34"/>
        </w:object>
      </w:r>
      <w:r>
        <w:t xml:space="preserve"> and </w:t>
      </w:r>
      <w:r w:rsidRPr="00924BC8">
        <w:rPr>
          <w:position w:val="-10"/>
        </w:rPr>
        <w:object w:dxaOrig="420" w:dyaOrig="300" w14:anchorId="63EBFF32">
          <v:shape id="_x0000_i1039" type="#_x0000_t75" style="width:20.65pt;height:15.05pt" o:ole="">
            <v:imagedata r:id="rId35" o:title=""/>
          </v:shape>
          <o:OLEObject Type="Embed" ProgID="Equation.3" ShapeID="_x0000_i1039" DrawAspect="Content" ObjectID="_1519658684" r:id="rId36"/>
        </w:object>
      </w:r>
      <w:r w:rsidRPr="00C12953">
        <w:t xml:space="preserve"> define </w:t>
      </w:r>
      <w:r>
        <w:t>the</w:t>
      </w:r>
      <w:r w:rsidRPr="00C12953">
        <w:t xml:space="preserve"> </w:t>
      </w:r>
      <w:r>
        <w:t>position</w:t>
      </w:r>
      <w:r w:rsidRPr="00C12953">
        <w:t xml:space="preserve"> in the frequency domain for the different reference signals </w:t>
      </w:r>
      <w:r>
        <w:t xml:space="preserve">where </w:t>
      </w:r>
      <w:r w:rsidRPr="00EE508F">
        <w:rPr>
          <w:position w:val="-6"/>
        </w:rPr>
        <w:object w:dxaOrig="160" w:dyaOrig="200" w14:anchorId="6FAA0F62">
          <v:shape id="_x0000_i1040" type="#_x0000_t75" style="width:8.15pt;height:9.4pt" o:ole="">
            <v:imagedata r:id="rId33" o:title=""/>
          </v:shape>
          <o:OLEObject Type="Embed" ProgID="Equation.3" ShapeID="_x0000_i1040" DrawAspect="Content" ObjectID="_1519658685" r:id="rId37"/>
        </w:object>
      </w:r>
      <w:r>
        <w:t xml:space="preserve"> </w:t>
      </w:r>
      <w:r w:rsidRPr="00C12953">
        <w:t>is given by</w:t>
      </w:r>
    </w:p>
    <w:p w14:paraId="58C7A110" w14:textId="77777777" w:rsidR="00E84AD6" w:rsidRDefault="00E84AD6" w:rsidP="00E84AD6">
      <w:pPr>
        <w:pStyle w:val="EQ"/>
        <w:jc w:val="center"/>
      </w:pPr>
      <w:r w:rsidRPr="00DF4DA4">
        <w:rPr>
          <w:position w:val="-88"/>
        </w:rPr>
        <w:object w:dxaOrig="3200" w:dyaOrig="1860" w14:anchorId="6A1D03DB">
          <v:shape id="_x0000_i1041" type="#_x0000_t75" style="width:159.65pt;height:92.65pt" o:ole="">
            <v:imagedata r:id="rId38" o:title=""/>
          </v:shape>
          <o:OLEObject Type="Embed" ProgID="Equation.3" ShapeID="_x0000_i1041" DrawAspect="Content" ObjectID="_1519658686" r:id="rId39"/>
        </w:object>
      </w:r>
    </w:p>
    <w:p w14:paraId="7D7ABD79" w14:textId="77777777" w:rsidR="00E84AD6" w:rsidRDefault="00E84AD6" w:rsidP="00E84AD6">
      <w:r>
        <w:t xml:space="preserve">The cell-specific frequency shift is given </w:t>
      </w:r>
      <w:proofErr w:type="gramStart"/>
      <w:r>
        <w:t xml:space="preserve">by </w:t>
      </w:r>
      <w:proofErr w:type="gramEnd"/>
      <w:r w:rsidRPr="002E0C76">
        <w:rPr>
          <w:position w:val="-10"/>
        </w:rPr>
        <w:object w:dxaOrig="1560" w:dyaOrig="340" w14:anchorId="7629DFEB">
          <v:shape id="_x0000_i1042" type="#_x0000_t75" style="width:77.65pt;height:16.9pt" o:ole="">
            <v:imagedata r:id="rId40" o:title=""/>
          </v:shape>
          <o:OLEObject Type="Embed" ProgID="Equation.3" ShapeID="_x0000_i1042" DrawAspect="Content" ObjectID="_1519658687" r:id="rId41"/>
        </w:object>
      </w:r>
      <w:r>
        <w:t>.</w:t>
      </w:r>
      <w:r w:rsidDel="00690F4D">
        <w:t xml:space="preserve"> </w:t>
      </w:r>
    </w:p>
    <w:p w14:paraId="33331804" w14:textId="2F996819" w:rsidR="00E84AD6" w:rsidRPr="00E84AD6" w:rsidRDefault="00E84AD6" w:rsidP="002D224A">
      <w:pPr>
        <w:rPr>
          <w:noProof/>
          <w:color w:val="000000" w:themeColor="text1"/>
          <w:lang w:val="en-US"/>
        </w:rPr>
      </w:pPr>
      <w:r w:rsidRPr="00E84AD6">
        <w:rPr>
          <w:noProof/>
          <w:color w:val="000000" w:themeColor="text1"/>
          <w:lang w:val="en-US"/>
        </w:rPr>
        <w:t>“</w:t>
      </w:r>
    </w:p>
    <w:p w14:paraId="43CAC3F0" w14:textId="68A9B82D" w:rsidR="00B41DD2" w:rsidRDefault="008A6CD4" w:rsidP="002D224A">
      <w:pPr>
        <w:rPr>
          <w:noProof/>
          <w:color w:val="000000" w:themeColor="text1"/>
          <w:lang w:val="en-US"/>
        </w:rPr>
      </w:pPr>
      <w:r w:rsidRPr="008A6CD4">
        <w:rPr>
          <w:noProof/>
          <w:color w:val="000000" w:themeColor="text1"/>
          <w:lang w:val="en-US"/>
        </w:rPr>
        <w:t>From the ways that the LTE CRSs are generated, we can use a new way to inde</w:t>
      </w:r>
      <w:r>
        <w:rPr>
          <w:noProof/>
          <w:color w:val="000000" w:themeColor="text1"/>
          <w:lang w:val="en-US"/>
        </w:rPr>
        <w:t xml:space="preserve">x the PRB which gives the same </w:t>
      </w:r>
      <w:r w:rsidRPr="00AA57AD">
        <w:rPr>
          <w:position w:val="-6"/>
        </w:rPr>
        <w:object w:dxaOrig="300" w:dyaOrig="279" w14:anchorId="75E18B4B">
          <v:shape id="_x0000_i1043" type="#_x0000_t75" style="width:15.05pt;height:13.75pt" o:ole="">
            <v:imagedata r:id="rId42" o:title=""/>
          </v:shape>
          <o:OLEObject Type="Embed" ProgID="Equation.3" ShapeID="_x0000_i1043" DrawAspect="Content" ObjectID="_1519658688" r:id="rId43"/>
        </w:object>
      </w:r>
      <w:r w:rsidRPr="008A6CD4">
        <w:rPr>
          <w:noProof/>
          <w:color w:val="000000" w:themeColor="text1"/>
          <w:lang w:val="en-US"/>
        </w:rPr>
        <w:t xml:space="preserve">, which is used to determine the LTE CRS information. </w:t>
      </w:r>
      <w:r w:rsidR="00096464">
        <w:rPr>
          <w:noProof/>
          <w:color w:val="000000" w:themeColor="text1"/>
          <w:lang w:val="en-US"/>
        </w:rPr>
        <w:t>To</w:t>
      </w:r>
      <w:r w:rsidR="007C6399">
        <w:rPr>
          <w:noProof/>
          <w:color w:val="000000" w:themeColor="text1"/>
          <w:lang w:val="en-US"/>
        </w:rPr>
        <w:t xml:space="preserve"> be</w:t>
      </w:r>
      <w:r w:rsidR="00096464">
        <w:rPr>
          <w:noProof/>
          <w:color w:val="000000" w:themeColor="text1"/>
          <w:lang w:val="en-US"/>
        </w:rPr>
        <w:t xml:space="preserve"> more specific, for all the systems, as long as the offset from the middle PRB is know</w:t>
      </w:r>
      <w:r w:rsidR="008F7DD6">
        <w:rPr>
          <w:noProof/>
          <w:color w:val="000000" w:themeColor="text1"/>
          <w:lang w:val="en-US"/>
        </w:rPr>
        <w:t>n</w:t>
      </w:r>
      <w:r w:rsidR="00096464">
        <w:rPr>
          <w:noProof/>
          <w:color w:val="000000" w:themeColor="text1"/>
          <w:lang w:val="en-US"/>
        </w:rPr>
        <w:t xml:space="preserve">, the LTE CRS can be determined. Therefore, it is only necessary to signal the offset between the NB-IoT PRB to the  LTE middle PRB. </w:t>
      </w:r>
    </w:p>
    <w:p w14:paraId="3A44E8A5" w14:textId="01CA4F60" w:rsidR="00096464" w:rsidRDefault="00247C85" w:rsidP="002D224A">
      <w:pPr>
        <w:rPr>
          <w:noProof/>
          <w:color w:val="000000" w:themeColor="text1"/>
          <w:lang w:val="en-US"/>
        </w:rPr>
      </w:pPr>
      <w:r>
        <w:rPr>
          <w:noProof/>
          <w:color w:val="000000" w:themeColor="text1"/>
          <w:lang w:val="en-US"/>
        </w:rPr>
        <w:t>Define the new PRB index numbering that starts from the middle as</w:t>
      </w:r>
    </w:p>
    <w:p w14:paraId="3C314D1D" w14:textId="3132C377" w:rsidR="00CE65FC" w:rsidRDefault="00042998" w:rsidP="00247C85">
      <w:pPr>
        <w:jc w:val="center"/>
      </w:pPr>
      <w:r w:rsidRPr="00247C85">
        <w:rPr>
          <w:position w:val="-10"/>
        </w:rPr>
        <w:object w:dxaOrig="3460" w:dyaOrig="360" w14:anchorId="7E12C594">
          <v:shape id="_x0000_i1044" type="#_x0000_t75" style="width:172.8pt;height:18.15pt" o:ole="">
            <v:imagedata r:id="rId44" o:title=""/>
          </v:shape>
          <o:OLEObject Type="Embed" ProgID="Equation.3" ShapeID="_x0000_i1044" DrawAspect="Content" ObjectID="_1519658689" r:id="rId45"/>
        </w:object>
      </w:r>
    </w:p>
    <w:p w14:paraId="45C610D9" w14:textId="1F67DF80" w:rsidR="00585DB5" w:rsidRDefault="00042998" w:rsidP="00585DB5">
      <w:proofErr w:type="gramStart"/>
      <w:r>
        <w:t>where</w:t>
      </w:r>
      <w:proofErr w:type="gramEnd"/>
      <w:r>
        <w:t xml:space="preserve"> </w:t>
      </w:r>
      <w:r w:rsidRPr="00AA57AD">
        <w:rPr>
          <w:position w:val="-10"/>
        </w:rPr>
        <w:object w:dxaOrig="460" w:dyaOrig="360" w14:anchorId="2A53B2E9">
          <v:shape id="_x0000_i1045" type="#_x0000_t75" style="width:23.15pt;height:18.15pt" o:ole="">
            <v:imagedata r:id="rId46" o:title=""/>
          </v:shape>
          <o:OLEObject Type="Embed" ProgID="Equation.3" ShapeID="_x0000_i1045" DrawAspect="Content" ObjectID="_1519658690" r:id="rId47"/>
        </w:object>
      </w:r>
      <w:r>
        <w:t xml:space="preserve">is the original PRB index, and </w:t>
      </w:r>
      <w:r w:rsidRPr="00AA57AD">
        <w:rPr>
          <w:position w:val="-10"/>
        </w:rPr>
        <w:object w:dxaOrig="460" w:dyaOrig="360" w14:anchorId="71E3D188">
          <v:shape id="_x0000_i1046" type="#_x0000_t75" style="width:23.15pt;height:18.15pt" o:ole="">
            <v:imagedata r:id="rId48" o:title=""/>
          </v:shape>
          <o:OLEObject Type="Embed" ProgID="Equation.3" ShapeID="_x0000_i1046" DrawAspect="Content" ObjectID="_1519658691" r:id="rId49"/>
        </w:object>
      </w:r>
      <w:r>
        <w:t>is the new indexing being singled</w:t>
      </w:r>
      <w:r w:rsidR="00E36E54">
        <w:t xml:space="preserve">, which is </w:t>
      </w:r>
      <w:r w:rsidR="00E36E54" w:rsidRPr="00E36E54">
        <w:t>relative to the middle LTE PRB</w:t>
      </w:r>
      <w:r>
        <w:t xml:space="preserve">. </w:t>
      </w:r>
      <w:r w:rsidR="00585DB5">
        <w:t xml:space="preserve">Notice that the sign of </w:t>
      </w:r>
      <w:r w:rsidR="00585DB5" w:rsidRPr="00AA57AD">
        <w:rPr>
          <w:position w:val="-10"/>
        </w:rPr>
        <w:object w:dxaOrig="460" w:dyaOrig="360" w14:anchorId="2BBC5BAD">
          <v:shape id="_x0000_i1047" type="#_x0000_t75" style="width:23.15pt;height:18.15pt" o:ole="">
            <v:imagedata r:id="rId48" o:title=""/>
          </v:shape>
          <o:OLEObject Type="Embed" ProgID="Equation.3" ShapeID="_x0000_i1047" DrawAspect="Content" ObjectID="_1519658692" r:id="rId50"/>
        </w:object>
      </w:r>
      <w:r w:rsidR="00585DB5">
        <w:t xml:space="preserve"> is related to the sign of the channel raster offset. Therefore, the sign of the channel raster offset can be implicitly derived from</w:t>
      </w:r>
      <w:r w:rsidR="00585DB5" w:rsidRPr="00AA57AD">
        <w:rPr>
          <w:position w:val="-10"/>
        </w:rPr>
        <w:object w:dxaOrig="460" w:dyaOrig="360" w14:anchorId="539664C7">
          <v:shape id="_x0000_i1048" type="#_x0000_t75" style="width:23.15pt;height:18.15pt" o:ole="">
            <v:imagedata r:id="rId48" o:title=""/>
          </v:shape>
          <o:OLEObject Type="Embed" ProgID="Equation.3" ShapeID="_x0000_i1048" DrawAspect="Content" ObjectID="_1519658693" r:id="rId51"/>
        </w:object>
      </w:r>
      <w:r w:rsidR="00585DB5">
        <w:t xml:space="preserve">. </w:t>
      </w:r>
    </w:p>
    <w:p w14:paraId="7619497D" w14:textId="18B45B9B" w:rsidR="00585DB5" w:rsidRPr="00585DB5" w:rsidRDefault="00585DB5" w:rsidP="00585DB5">
      <w:pPr>
        <w:rPr>
          <w:lang w:val="en-US"/>
        </w:rPr>
      </w:pPr>
      <w:r w:rsidRPr="009D5065">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3</w:t>
      </w:r>
      <w:r w:rsidRPr="009D5065">
        <w:rPr>
          <w:rFonts w:ascii="Times New Roman" w:hAnsi="Times New Roman"/>
          <w:b/>
          <w:i/>
          <w:noProof/>
          <w:color w:val="000000" w:themeColor="text1"/>
          <w:lang w:val="en-US"/>
        </w:rPr>
        <w:t>:</w:t>
      </w:r>
      <w:r w:rsidRPr="009D5065">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It is not necessary to signalled the sign of the channel raster offset as it can be derived from </w:t>
      </w:r>
      <w:r w:rsidRPr="00AA57AD">
        <w:rPr>
          <w:position w:val="-10"/>
        </w:rPr>
        <w:object w:dxaOrig="460" w:dyaOrig="360" w14:anchorId="5C90AFDF">
          <v:shape id="_x0000_i1049" type="#_x0000_t75" style="width:23.15pt;height:18.15pt" o:ole="">
            <v:imagedata r:id="rId48" o:title=""/>
          </v:shape>
          <o:OLEObject Type="Embed" ProgID="Equation.3" ShapeID="_x0000_i1049" DrawAspect="Content" ObjectID="_1519658694" r:id="rId52"/>
        </w:object>
      </w:r>
      <w:r>
        <w:t>.</w:t>
      </w:r>
    </w:p>
    <w:p w14:paraId="29E319F1" w14:textId="38D09009" w:rsidR="00A52FF9" w:rsidRDefault="00042998" w:rsidP="00585DB5">
      <w:r>
        <w:t>The</w:t>
      </w:r>
      <w:r w:rsidR="00585DB5">
        <w:t>n</w:t>
      </w:r>
      <w:r>
        <w:t xml:space="preserve"> </w:t>
      </w:r>
      <w:r w:rsidRPr="00AA57AD">
        <w:rPr>
          <w:position w:val="-6"/>
        </w:rPr>
        <w:object w:dxaOrig="300" w:dyaOrig="279" w14:anchorId="0F6471AC">
          <v:shape id="_x0000_i1050" type="#_x0000_t75" style="width:15.05pt;height:13.75pt" o:ole="">
            <v:imagedata r:id="rId42" o:title=""/>
          </v:shape>
          <o:OLEObject Type="Embed" ProgID="Equation.3" ShapeID="_x0000_i1050" DrawAspect="Content" ObjectID="_1519658695" r:id="rId53"/>
        </w:object>
      </w:r>
      <w:r>
        <w:t xml:space="preserve"> is still calculated </w:t>
      </w:r>
      <w:proofErr w:type="gramStart"/>
      <w:r>
        <w:t xml:space="preserve">as </w:t>
      </w:r>
      <w:proofErr w:type="gramEnd"/>
      <w:r w:rsidR="00A52FF9" w:rsidRPr="00AA57AD">
        <w:rPr>
          <w:position w:val="-10"/>
        </w:rPr>
        <w:object w:dxaOrig="2260" w:dyaOrig="360" w14:anchorId="3FB76C01">
          <v:shape id="_x0000_i1051" type="#_x0000_t75" style="width:112.7pt;height:18.15pt" o:ole="">
            <v:imagedata r:id="rId54" o:title=""/>
          </v:shape>
          <o:OLEObject Type="Embed" ProgID="Equation.3" ShapeID="_x0000_i1051" DrawAspect="Content" ObjectID="_1519658696" r:id="rId55"/>
        </w:object>
      </w:r>
      <w:r>
        <w:t xml:space="preserve">, but with </w:t>
      </w:r>
      <w:r w:rsidRPr="00AA57AD">
        <w:rPr>
          <w:position w:val="-6"/>
        </w:rPr>
        <w:object w:dxaOrig="260" w:dyaOrig="220" w14:anchorId="2AE0A8D8">
          <v:shape id="_x0000_i1052" type="#_x0000_t75" style="width:13.15pt;height:10.65pt" o:ole="">
            <v:imagedata r:id="rId56" o:title=""/>
          </v:shape>
          <o:OLEObject Type="Embed" ProgID="Equation.3" ShapeID="_x0000_i1052" DrawAspect="Content" ObjectID="_1519658697" r:id="rId57"/>
        </w:object>
      </w:r>
      <w:r>
        <w:t xml:space="preserve"> being substituted by </w:t>
      </w:r>
      <w:r w:rsidR="004E10A8" w:rsidRPr="00042998">
        <w:rPr>
          <w:position w:val="-10"/>
        </w:rPr>
        <w:object w:dxaOrig="3379" w:dyaOrig="480" w14:anchorId="1CFEC91C">
          <v:shape id="_x0000_i1053" type="#_x0000_t75" style="width:169.05pt;height:24.4pt" o:ole="">
            <v:imagedata r:id="rId58" o:title=""/>
          </v:shape>
          <o:OLEObject Type="Embed" ProgID="Equation.3" ShapeID="_x0000_i1053" DrawAspect="Content" ObjectID="_1519658698" r:id="rId59"/>
        </w:object>
      </w:r>
      <w:r>
        <w:t xml:space="preserve">. </w:t>
      </w:r>
      <w:r w:rsidRPr="00C8181D">
        <w:t xml:space="preserve">Here </w:t>
      </w:r>
      <w:r w:rsidR="004E10A8" w:rsidRPr="00C8181D">
        <w:rPr>
          <w:position w:val="-10"/>
        </w:rPr>
        <w:object w:dxaOrig="780" w:dyaOrig="480" w14:anchorId="1BDD1CBA">
          <v:shape id="_x0000_i1054" type="#_x0000_t75" style="width:38.8pt;height:24.4pt" o:ole="">
            <v:imagedata r:id="rId60" o:title=""/>
          </v:shape>
          <o:OLEObject Type="Embed" ProgID="Equation.3" ShapeID="_x0000_i1054" DrawAspect="Content" ObjectID="_1519658699" r:id="rId61"/>
        </w:object>
      </w:r>
      <w:r w:rsidRPr="00C8181D">
        <w:t xml:space="preserve"> </w:t>
      </w:r>
      <w:r w:rsidR="007E51FA" w:rsidRPr="00C8181D">
        <w:t xml:space="preserve">for </w:t>
      </w:r>
      <w:r w:rsidR="00C8181D" w:rsidRPr="00C8181D">
        <w:t>all the</w:t>
      </w:r>
      <w:r w:rsidR="00C8181D">
        <w:t xml:space="preserve"> cases. </w:t>
      </w:r>
      <w:r w:rsidR="007E51FA">
        <w:t xml:space="preserve"> </w:t>
      </w:r>
      <w:r>
        <w:t xml:space="preserve"> </w:t>
      </w:r>
      <w:r w:rsidR="00A52FF9">
        <w:t xml:space="preserve">As we can see from the calculation, </w:t>
      </w:r>
      <w:r w:rsidR="00A52FF9" w:rsidRPr="00AA57AD">
        <w:rPr>
          <w:position w:val="-10"/>
        </w:rPr>
        <w:object w:dxaOrig="480" w:dyaOrig="360" w14:anchorId="07C975B7">
          <v:shape id="_x0000_i1055" type="#_x0000_t75" style="width:24.4pt;height:18.15pt" o:ole="">
            <v:imagedata r:id="rId62" o:title=""/>
          </v:shape>
          <o:OLEObject Type="Embed" ProgID="Equation.3" ShapeID="_x0000_i1055" DrawAspect="Content" ObjectID="_1519658700" r:id="rId63"/>
        </w:object>
      </w:r>
      <w:r w:rsidR="00A52FF9">
        <w:t>is not needed in calculating</w:t>
      </w:r>
      <w:r w:rsidR="00A52FF9" w:rsidRPr="00AA57AD">
        <w:rPr>
          <w:position w:val="-6"/>
        </w:rPr>
        <w:object w:dxaOrig="300" w:dyaOrig="279" w14:anchorId="3776C07B">
          <v:shape id="_x0000_i1056" type="#_x0000_t75" style="width:15.05pt;height:13.75pt" o:ole="">
            <v:imagedata r:id="rId64" o:title=""/>
          </v:shape>
          <o:OLEObject Type="Embed" ProgID="Equation.3" ShapeID="_x0000_i1056" DrawAspect="Content" ObjectID="_1519658701" r:id="rId65"/>
        </w:object>
      </w:r>
      <w:r w:rsidR="00A52FF9">
        <w:t xml:space="preserve">, and therefore the LTE system bandwidth does not need to be signalled. Moreover, </w:t>
      </w:r>
      <w:r w:rsidR="00A52FF9" w:rsidRPr="00A52FF9">
        <w:t xml:space="preserve">since the odd and even number of </w:t>
      </w:r>
      <w:r w:rsidR="00FC354D">
        <w:t xml:space="preserve">PRBs </w:t>
      </w:r>
      <w:r w:rsidR="00A52FF9" w:rsidRPr="00A52FF9">
        <w:t>is related to the absolute value of the channel raster offset, no additional signalling is needed.</w:t>
      </w:r>
    </w:p>
    <w:p w14:paraId="140A5CB6" w14:textId="35095444" w:rsidR="00A52FF9" w:rsidRDefault="00A52FF9" w:rsidP="00585DB5">
      <w:r w:rsidRPr="00A52FF9">
        <w:t xml:space="preserve">An example is given in the appendix to facilitate the understanding of the proposed indexing method. Another advantage of using this method is forward compatibility, if new LTE system bandwidth is defined in the further.  </w:t>
      </w:r>
    </w:p>
    <w:p w14:paraId="31D41F50" w14:textId="49E2AF42" w:rsidR="00A52FF9" w:rsidRPr="00A52FF9" w:rsidRDefault="00A52FF9" w:rsidP="00042998">
      <w:pPr>
        <w:jc w:val="left"/>
        <w:rPr>
          <w:rFonts w:ascii="Times New Roman" w:hAnsi="Times New Roman"/>
          <w:i/>
          <w:noProof/>
          <w:color w:val="000000" w:themeColor="text1"/>
          <w:lang w:val="en-US"/>
        </w:rPr>
      </w:pPr>
      <w:r w:rsidRPr="00A52FF9">
        <w:rPr>
          <w:rFonts w:ascii="Times New Roman" w:hAnsi="Times New Roman"/>
          <w:b/>
          <w:i/>
          <w:noProof/>
          <w:color w:val="000000" w:themeColor="text1"/>
          <w:lang w:val="en-US"/>
        </w:rPr>
        <w:t xml:space="preserve">Observation </w:t>
      </w:r>
      <w:r w:rsidR="006C1A37">
        <w:rPr>
          <w:rFonts w:ascii="Times New Roman" w:hAnsi="Times New Roman"/>
          <w:b/>
          <w:i/>
          <w:noProof/>
          <w:color w:val="000000" w:themeColor="text1"/>
          <w:lang w:val="en-US"/>
        </w:rPr>
        <w:t>4</w:t>
      </w:r>
      <w:r w:rsidRPr="00A52FF9">
        <w:rPr>
          <w:rFonts w:ascii="Times New Roman" w:hAnsi="Times New Roman"/>
          <w:i/>
          <w:noProof/>
          <w:color w:val="000000" w:themeColor="text1"/>
          <w:lang w:val="en-US"/>
        </w:rPr>
        <w:t>: The LTE system bandwidth does not need to be signalled.</w:t>
      </w:r>
    </w:p>
    <w:p w14:paraId="3BD3B7DF" w14:textId="40216551" w:rsidR="00A52FF9" w:rsidRDefault="00A52FF9" w:rsidP="00A52FF9">
      <w:pPr>
        <w:rPr>
          <w:rFonts w:ascii="Times New Roman" w:hAnsi="Times New Roman"/>
          <w:i/>
          <w:noProof/>
          <w:color w:val="000000" w:themeColor="text1"/>
          <w:lang w:val="en-US"/>
        </w:rPr>
      </w:pPr>
      <w:r w:rsidRPr="00A52FF9">
        <w:rPr>
          <w:rFonts w:ascii="Times New Roman" w:hAnsi="Times New Roman"/>
          <w:b/>
          <w:i/>
          <w:noProof/>
          <w:color w:val="000000" w:themeColor="text1"/>
          <w:lang w:val="en-US"/>
        </w:rPr>
        <w:t xml:space="preserve">Proposal </w:t>
      </w:r>
      <w:r w:rsidR="006C1A37">
        <w:rPr>
          <w:rFonts w:ascii="Times New Roman" w:hAnsi="Times New Roman"/>
          <w:b/>
          <w:i/>
          <w:noProof/>
          <w:color w:val="000000" w:themeColor="text1"/>
          <w:lang w:val="en-US"/>
        </w:rPr>
        <w:t>1</w:t>
      </w:r>
      <w:r w:rsidRPr="00A327D0">
        <w:rPr>
          <w:rFonts w:ascii="Times New Roman" w:hAnsi="Times New Roman"/>
          <w:b/>
          <w:i/>
          <w:noProof/>
          <w:color w:val="000000" w:themeColor="text1"/>
          <w:lang w:val="en-US"/>
        </w:rPr>
        <w:t>:</w:t>
      </w:r>
      <w:r>
        <w:rPr>
          <w:rFonts w:ascii="Times New Roman" w:hAnsi="Times New Roman"/>
          <w:b/>
          <w:i/>
          <w:noProof/>
          <w:color w:val="000000" w:themeColor="text1"/>
          <w:lang w:val="en-US"/>
        </w:rPr>
        <w:t xml:space="preserve"> </w:t>
      </w:r>
      <w:r>
        <w:rPr>
          <w:rFonts w:ascii="Times New Roman" w:hAnsi="Times New Roman"/>
          <w:i/>
          <w:noProof/>
          <w:color w:val="000000" w:themeColor="text1"/>
          <w:lang w:val="en-US"/>
        </w:rPr>
        <w:t>It is proposed to signal the PRB index</w:t>
      </w:r>
      <w:r w:rsidR="00EA2D7D">
        <w:rPr>
          <w:rFonts w:ascii="Times New Roman" w:hAnsi="Times New Roman"/>
          <w:i/>
          <w:noProof/>
          <w:color w:val="000000" w:themeColor="text1"/>
          <w:lang w:val="en-US"/>
        </w:rPr>
        <w:t>ing offset</w:t>
      </w:r>
      <w:r>
        <w:rPr>
          <w:rFonts w:ascii="Times New Roman" w:hAnsi="Times New Roman"/>
          <w:i/>
          <w:noProof/>
          <w:color w:val="000000" w:themeColor="text1"/>
          <w:lang w:val="en-US"/>
        </w:rPr>
        <w:t xml:space="preserve"> from the middle of the LTE system</w:t>
      </w:r>
      <w:r w:rsidR="00EA2D7D">
        <w:rPr>
          <w:rFonts w:ascii="Times New Roman" w:hAnsi="Times New Roman"/>
          <w:i/>
          <w:noProof/>
          <w:color w:val="000000" w:themeColor="text1"/>
          <w:lang w:val="en-US"/>
        </w:rPr>
        <w:t xml:space="preserve">. </w:t>
      </w:r>
    </w:p>
    <w:p w14:paraId="338C7151" w14:textId="3B3FA318" w:rsidR="00042998" w:rsidRDefault="00FE41EE" w:rsidP="00585DB5">
      <w:r>
        <w:t xml:space="preserve">Since at most 18 PRBs can be used as anchors for NB-IoT in-band deployment, 5 bits are needed for the indexing. </w:t>
      </w:r>
      <w:r w:rsidR="00EA2D7D">
        <w:t xml:space="preserve">As 5 bits gives 32 different indexing values, some of the values can be used to indicate </w:t>
      </w:r>
      <w:r w:rsidR="00585DB5">
        <w:t xml:space="preserve">guard-band operation including the corresponding raster offset. </w:t>
      </w:r>
    </w:p>
    <w:p w14:paraId="512DDFAF" w14:textId="6EF5F11D" w:rsidR="00A327D0" w:rsidRDefault="00042998" w:rsidP="00EA2D7D">
      <w:pPr>
        <w:jc w:val="left"/>
        <w:rPr>
          <w:rFonts w:ascii="Times New Roman" w:hAnsi="Times New Roman"/>
          <w:i/>
          <w:noProof/>
          <w:color w:val="000000" w:themeColor="text1"/>
          <w:lang w:val="en-US"/>
        </w:rPr>
      </w:pPr>
      <w:r>
        <w:t xml:space="preserve"> </w:t>
      </w:r>
      <w:r w:rsidR="00A327D0" w:rsidRPr="00A327D0">
        <w:rPr>
          <w:rFonts w:ascii="Times New Roman" w:hAnsi="Times New Roman"/>
          <w:b/>
          <w:i/>
          <w:noProof/>
          <w:color w:val="000000" w:themeColor="text1"/>
          <w:lang w:val="en-US"/>
        </w:rPr>
        <w:t xml:space="preserve">Observation </w:t>
      </w:r>
      <w:r w:rsidR="006C1A37">
        <w:rPr>
          <w:rFonts w:ascii="Times New Roman" w:hAnsi="Times New Roman"/>
          <w:b/>
          <w:i/>
          <w:noProof/>
          <w:color w:val="000000" w:themeColor="text1"/>
          <w:lang w:val="en-US"/>
        </w:rPr>
        <w:t>5</w:t>
      </w:r>
      <w:r w:rsidR="00A327D0" w:rsidRPr="00A327D0">
        <w:rPr>
          <w:rFonts w:ascii="Times New Roman" w:hAnsi="Times New Roman"/>
          <w:b/>
          <w:i/>
          <w:noProof/>
          <w:color w:val="000000" w:themeColor="text1"/>
          <w:lang w:val="en-US"/>
        </w:rPr>
        <w:t>:</w:t>
      </w:r>
      <w:r w:rsidR="00A327D0">
        <w:rPr>
          <w:rFonts w:ascii="Times New Roman" w:hAnsi="Times New Roman"/>
          <w:b/>
          <w:i/>
          <w:noProof/>
          <w:color w:val="000000" w:themeColor="text1"/>
          <w:lang w:val="en-US"/>
        </w:rPr>
        <w:t xml:space="preserve"> </w:t>
      </w:r>
      <w:r w:rsidR="00A327D0" w:rsidRPr="00A327D0">
        <w:rPr>
          <w:rFonts w:ascii="Times New Roman" w:hAnsi="Times New Roman"/>
          <w:i/>
          <w:noProof/>
          <w:color w:val="000000" w:themeColor="text1"/>
          <w:lang w:val="en-US"/>
        </w:rPr>
        <w:t xml:space="preserve">If </w:t>
      </w:r>
      <w:r w:rsidR="00A327D0">
        <w:rPr>
          <w:rFonts w:ascii="Times New Roman" w:hAnsi="Times New Roman"/>
          <w:i/>
          <w:noProof/>
          <w:color w:val="000000" w:themeColor="text1"/>
          <w:lang w:val="en-US"/>
        </w:rPr>
        <w:t xml:space="preserve">only the LTE CRS </w:t>
      </w:r>
      <w:r w:rsidR="00A9233B">
        <w:rPr>
          <w:rFonts w:ascii="Times New Roman" w:hAnsi="Times New Roman"/>
          <w:i/>
          <w:noProof/>
          <w:color w:val="000000" w:themeColor="text1"/>
          <w:lang w:val="en-US"/>
        </w:rPr>
        <w:t>infomation</w:t>
      </w:r>
      <w:r w:rsidR="00A327D0">
        <w:rPr>
          <w:rFonts w:ascii="Times New Roman" w:hAnsi="Times New Roman"/>
          <w:i/>
          <w:noProof/>
          <w:color w:val="000000" w:themeColor="text1"/>
          <w:lang w:val="en-US"/>
        </w:rPr>
        <w:t xml:space="preserve"> is needed, 5 bits are necessary to indicate the </w:t>
      </w:r>
      <w:r w:rsidR="00096464">
        <w:rPr>
          <w:rFonts w:ascii="Times New Roman" w:hAnsi="Times New Roman"/>
          <w:i/>
          <w:noProof/>
          <w:color w:val="000000" w:themeColor="text1"/>
          <w:lang w:val="en-US"/>
        </w:rPr>
        <w:t xml:space="preserve">offset from middle PRB </w:t>
      </w:r>
      <w:r w:rsidR="00EA2D7D">
        <w:rPr>
          <w:rFonts w:ascii="Times New Roman" w:hAnsi="Times New Roman"/>
          <w:i/>
          <w:noProof/>
          <w:color w:val="000000" w:themeColor="text1"/>
          <w:lang w:val="en-US"/>
        </w:rPr>
        <w:t xml:space="preserve">of the </w:t>
      </w:r>
      <w:r w:rsidR="00EA2D7D" w:rsidRPr="00EA2D7D">
        <w:rPr>
          <w:rFonts w:ascii="Times New Roman" w:hAnsi="Times New Roman"/>
          <w:i/>
          <w:noProof/>
          <w:color w:val="000000" w:themeColor="text1"/>
          <w:lang w:val="en-US"/>
        </w:rPr>
        <w:t xml:space="preserve">the LTE </w:t>
      </w:r>
      <w:r w:rsidR="00EA2D7D">
        <w:rPr>
          <w:rFonts w:ascii="Times New Roman" w:hAnsi="Times New Roman"/>
          <w:i/>
          <w:noProof/>
          <w:color w:val="000000" w:themeColor="text1"/>
          <w:lang w:val="en-US"/>
        </w:rPr>
        <w:t xml:space="preserve">system </w:t>
      </w:r>
      <w:r w:rsidR="00096464">
        <w:rPr>
          <w:rFonts w:ascii="Times New Roman" w:hAnsi="Times New Roman"/>
          <w:i/>
          <w:noProof/>
          <w:color w:val="000000" w:themeColor="text1"/>
          <w:lang w:val="en-US"/>
        </w:rPr>
        <w:t xml:space="preserve">to the NB-IoT </w:t>
      </w:r>
      <w:r w:rsidR="00EA2D7D">
        <w:rPr>
          <w:rFonts w:ascii="Times New Roman" w:hAnsi="Times New Roman"/>
          <w:i/>
          <w:noProof/>
          <w:color w:val="000000" w:themeColor="text1"/>
          <w:lang w:val="en-US"/>
        </w:rPr>
        <w:t>anchor PRB</w:t>
      </w:r>
      <w:r w:rsidR="00A327D0">
        <w:rPr>
          <w:rFonts w:ascii="Times New Roman" w:hAnsi="Times New Roman"/>
          <w:i/>
          <w:noProof/>
          <w:color w:val="000000" w:themeColor="text1"/>
          <w:lang w:val="en-US"/>
        </w:rPr>
        <w:t xml:space="preserve">. </w:t>
      </w:r>
    </w:p>
    <w:p w14:paraId="17C2940B" w14:textId="4B76744F" w:rsidR="007B202D" w:rsidRPr="007B202D" w:rsidRDefault="007B202D" w:rsidP="002D224A">
      <w:pPr>
        <w:rPr>
          <w:rFonts w:ascii="Times New Roman" w:hAnsi="Times New Roman"/>
          <w:i/>
          <w:noProof/>
          <w:color w:val="000000" w:themeColor="text1"/>
          <w:lang w:val="en-US"/>
        </w:rPr>
      </w:pPr>
      <w:r w:rsidRPr="007B202D">
        <w:rPr>
          <w:rFonts w:ascii="Times New Roman" w:hAnsi="Times New Roman"/>
          <w:b/>
          <w:i/>
          <w:noProof/>
          <w:color w:val="000000" w:themeColor="text1"/>
          <w:lang w:val="en-US"/>
        </w:rPr>
        <w:t xml:space="preserve">Observation </w:t>
      </w:r>
      <w:r w:rsidR="006C1A37">
        <w:rPr>
          <w:rFonts w:ascii="Times New Roman" w:hAnsi="Times New Roman"/>
          <w:b/>
          <w:i/>
          <w:noProof/>
          <w:color w:val="000000" w:themeColor="text1"/>
          <w:lang w:val="en-US"/>
        </w:rPr>
        <w:t>6</w:t>
      </w:r>
      <w:r w:rsidRPr="007B202D">
        <w:rPr>
          <w:rFonts w:ascii="Times New Roman" w:hAnsi="Times New Roman"/>
          <w:b/>
          <w:i/>
          <w:noProof/>
          <w:color w:val="000000" w:themeColor="text1"/>
          <w:lang w:val="en-US"/>
        </w:rPr>
        <w:t>:</w:t>
      </w:r>
      <w:r w:rsidRPr="007B202D">
        <w:rPr>
          <w:rFonts w:ascii="Times New Roman" w:hAnsi="Times New Roman"/>
          <w:i/>
          <w:noProof/>
          <w:color w:val="000000" w:themeColor="text1"/>
          <w:lang w:val="en-US"/>
        </w:rPr>
        <w:t xml:space="preserve"> </w:t>
      </w:r>
      <w:r w:rsidR="00EA2D7D">
        <w:rPr>
          <w:rFonts w:ascii="Times New Roman" w:hAnsi="Times New Roman"/>
          <w:i/>
          <w:noProof/>
          <w:color w:val="000000" w:themeColor="text1"/>
          <w:lang w:val="en-US"/>
        </w:rPr>
        <w:t xml:space="preserve">Some of the indexing values given by the 5 bits can be used </w:t>
      </w:r>
      <w:r w:rsidR="00585DB5">
        <w:rPr>
          <w:rFonts w:ascii="Times New Roman" w:hAnsi="Times New Roman"/>
          <w:i/>
          <w:noProof/>
          <w:color w:val="000000" w:themeColor="text1"/>
          <w:lang w:val="en-US"/>
        </w:rPr>
        <w:t xml:space="preserve">to indicate the </w:t>
      </w:r>
      <w:r w:rsidR="00585DB5" w:rsidRPr="00585DB5">
        <w:rPr>
          <w:rFonts w:ascii="Times New Roman" w:hAnsi="Times New Roman"/>
          <w:i/>
          <w:noProof/>
          <w:color w:val="000000" w:themeColor="text1"/>
          <w:lang w:val="en-US"/>
        </w:rPr>
        <w:t>guard-band operation including t</w:t>
      </w:r>
      <w:r w:rsidR="00585DB5">
        <w:rPr>
          <w:rFonts w:ascii="Times New Roman" w:hAnsi="Times New Roman"/>
          <w:i/>
          <w:noProof/>
          <w:color w:val="000000" w:themeColor="text1"/>
          <w:lang w:val="en-US"/>
        </w:rPr>
        <w:t>he corresponding raster offset.</w:t>
      </w:r>
    </w:p>
    <w:p w14:paraId="0D64D7A0" w14:textId="110B483B" w:rsidR="00A327D0" w:rsidRDefault="00096464" w:rsidP="00A327D0">
      <w:pPr>
        <w:pStyle w:val="Heading2"/>
        <w:rPr>
          <w:lang w:val="en-US"/>
        </w:rPr>
      </w:pPr>
      <w:r>
        <w:rPr>
          <w:lang w:val="en-US"/>
        </w:rPr>
        <w:t>T</w:t>
      </w:r>
      <w:r w:rsidR="000F2CDB">
        <w:rPr>
          <w:lang w:val="en-US"/>
        </w:rPr>
        <w:t xml:space="preserve">he number of </w:t>
      </w:r>
      <w:r w:rsidR="00A9233B">
        <w:rPr>
          <w:lang w:val="en-US"/>
        </w:rPr>
        <w:t>C</w:t>
      </w:r>
      <w:r>
        <w:rPr>
          <w:lang w:val="en-US"/>
        </w:rPr>
        <w:t>RS ports</w:t>
      </w:r>
    </w:p>
    <w:p w14:paraId="486B94DC" w14:textId="2436C568" w:rsidR="00A327D0" w:rsidRDefault="000F2CDB" w:rsidP="00A327D0">
      <w:pPr>
        <w:rPr>
          <w:lang w:val="en-US"/>
        </w:rPr>
      </w:pPr>
      <w:r>
        <w:rPr>
          <w:lang w:val="en-US"/>
        </w:rPr>
        <w:t xml:space="preserve">The number of </w:t>
      </w:r>
      <w:r w:rsidR="00A9233B">
        <w:rPr>
          <w:lang w:val="en-US"/>
        </w:rPr>
        <w:t xml:space="preserve">LTE </w:t>
      </w:r>
      <w:r>
        <w:rPr>
          <w:lang w:val="en-US"/>
        </w:rPr>
        <w:t>CRS port</w:t>
      </w:r>
      <w:r w:rsidR="00FC354D">
        <w:rPr>
          <w:lang w:val="en-US"/>
        </w:rPr>
        <w:t>s</w:t>
      </w:r>
      <w:r>
        <w:rPr>
          <w:lang w:val="en-US"/>
        </w:rPr>
        <w:t xml:space="preserve"> is agreed to be indicated in MIB. However, this field </w:t>
      </w:r>
      <w:r w:rsidR="00A9233B">
        <w:rPr>
          <w:lang w:val="en-US"/>
        </w:rPr>
        <w:t>can</w:t>
      </w:r>
      <w:r>
        <w:rPr>
          <w:lang w:val="en-US"/>
        </w:rPr>
        <w:t xml:space="preserve"> be </w:t>
      </w:r>
      <w:r w:rsidR="00A9233B">
        <w:rPr>
          <w:lang w:val="en-US"/>
        </w:rPr>
        <w:t>re-used for stand-alone</w:t>
      </w:r>
      <w:r>
        <w:rPr>
          <w:lang w:val="en-US"/>
        </w:rPr>
        <w:t>. The current understanding is that for stand-alone operation</w:t>
      </w:r>
      <w:r w:rsidR="00002708">
        <w:rPr>
          <w:lang w:val="en-US"/>
        </w:rPr>
        <w:t xml:space="preserve"> in release 13</w:t>
      </w:r>
      <w:r>
        <w:rPr>
          <w:lang w:val="en-US"/>
        </w:rPr>
        <w:t xml:space="preserve">, only single antenna is </w:t>
      </w:r>
      <w:r w:rsidR="00E36E54">
        <w:rPr>
          <w:lang w:val="en-US"/>
        </w:rPr>
        <w:t>supported</w:t>
      </w:r>
      <w:r>
        <w:rPr>
          <w:lang w:val="en-US"/>
        </w:rPr>
        <w:t>. However, in later release</w:t>
      </w:r>
      <w:r w:rsidR="00002708">
        <w:rPr>
          <w:lang w:val="en-US"/>
        </w:rPr>
        <w:t>s</w:t>
      </w:r>
      <w:r>
        <w:rPr>
          <w:lang w:val="en-US"/>
        </w:rPr>
        <w:t xml:space="preserve">, maybe two antennas can also be used for stand-alone operation, e.g., in the case of deploying NB-IoT system with low power nodes. </w:t>
      </w:r>
    </w:p>
    <w:p w14:paraId="5CA2B0DD" w14:textId="0C38453B" w:rsidR="000F2CDB" w:rsidRDefault="000F2CDB" w:rsidP="00A327D0">
      <w:pPr>
        <w:rPr>
          <w:rFonts w:ascii="Times New Roman" w:hAnsi="Times New Roman"/>
          <w:i/>
          <w:lang w:val="en-US"/>
        </w:rPr>
      </w:pPr>
      <w:r>
        <w:rPr>
          <w:rFonts w:ascii="Times New Roman" w:hAnsi="Times New Roman"/>
          <w:b/>
          <w:i/>
          <w:lang w:val="en-US"/>
        </w:rPr>
        <w:t xml:space="preserve">Proposal </w:t>
      </w:r>
      <w:r w:rsidR="006C1A37">
        <w:rPr>
          <w:rFonts w:ascii="Times New Roman" w:hAnsi="Times New Roman"/>
          <w:b/>
          <w:i/>
          <w:lang w:val="en-US"/>
        </w:rPr>
        <w:t>2</w:t>
      </w:r>
      <w:r w:rsidRPr="000F2CDB">
        <w:rPr>
          <w:rFonts w:ascii="Times New Roman" w:hAnsi="Times New Roman"/>
          <w:b/>
          <w:i/>
          <w:lang w:val="en-US"/>
        </w:rPr>
        <w:t>:</w:t>
      </w:r>
      <w:r w:rsidR="00A9233B">
        <w:rPr>
          <w:rFonts w:ascii="Times New Roman" w:hAnsi="Times New Roman"/>
          <w:b/>
          <w:i/>
          <w:lang w:val="en-US"/>
        </w:rPr>
        <w:t xml:space="preserve"> </w:t>
      </w:r>
      <w:r w:rsidR="00A9233B" w:rsidRPr="00A9233B">
        <w:rPr>
          <w:rFonts w:ascii="Times New Roman" w:hAnsi="Times New Roman"/>
          <w:i/>
          <w:lang w:val="en-US"/>
        </w:rPr>
        <w:t>The</w:t>
      </w:r>
      <w:r w:rsidRPr="000F2CDB">
        <w:rPr>
          <w:rFonts w:ascii="Times New Roman" w:hAnsi="Times New Roman"/>
          <w:i/>
          <w:lang w:val="en-US"/>
        </w:rPr>
        <w:t xml:space="preserve"> </w:t>
      </w:r>
      <w:r>
        <w:rPr>
          <w:rFonts w:ascii="Times New Roman" w:hAnsi="Times New Roman"/>
          <w:i/>
          <w:lang w:val="en-US"/>
        </w:rPr>
        <w:t xml:space="preserve">1 bit </w:t>
      </w:r>
      <w:r w:rsidR="00A9233B">
        <w:rPr>
          <w:rFonts w:ascii="Times New Roman" w:hAnsi="Times New Roman"/>
          <w:i/>
          <w:lang w:val="en-US"/>
        </w:rPr>
        <w:t xml:space="preserve">LTE CRS port </w:t>
      </w:r>
      <w:r>
        <w:rPr>
          <w:rFonts w:ascii="Times New Roman" w:hAnsi="Times New Roman"/>
          <w:i/>
          <w:lang w:val="en-US"/>
        </w:rPr>
        <w:t xml:space="preserve">indication </w:t>
      </w:r>
      <w:r w:rsidR="00002708">
        <w:rPr>
          <w:rFonts w:ascii="Times New Roman" w:hAnsi="Times New Roman"/>
          <w:i/>
          <w:lang w:val="en-US"/>
        </w:rPr>
        <w:t>fiel</w:t>
      </w:r>
      <w:r w:rsidR="00A9233B">
        <w:rPr>
          <w:rFonts w:ascii="Times New Roman" w:hAnsi="Times New Roman"/>
          <w:i/>
          <w:lang w:val="en-US"/>
        </w:rPr>
        <w:t xml:space="preserve">d can be re-used for stand-alone mode </w:t>
      </w:r>
      <w:r>
        <w:rPr>
          <w:rFonts w:ascii="Times New Roman" w:hAnsi="Times New Roman"/>
          <w:i/>
          <w:lang w:val="en-US"/>
        </w:rPr>
        <w:t xml:space="preserve">for forward compatibility. </w:t>
      </w:r>
    </w:p>
    <w:p w14:paraId="283E2D89" w14:textId="1A670261" w:rsidR="001E3A1C" w:rsidRDefault="001E3A1C" w:rsidP="001E3A1C">
      <w:pPr>
        <w:pStyle w:val="Heading2"/>
        <w:rPr>
          <w:noProof/>
          <w:lang w:val="en-US"/>
        </w:rPr>
      </w:pPr>
      <w:r>
        <w:rPr>
          <w:noProof/>
          <w:lang w:val="en-US"/>
        </w:rPr>
        <w:t xml:space="preserve">Other </w:t>
      </w:r>
      <w:r w:rsidR="000F2CDB">
        <w:rPr>
          <w:noProof/>
          <w:lang w:val="en-US"/>
        </w:rPr>
        <w:t>issues</w:t>
      </w:r>
    </w:p>
    <w:p w14:paraId="7465B356" w14:textId="06B21641" w:rsidR="001E3A1C" w:rsidRDefault="000F2CDB" w:rsidP="001E3A1C">
      <w:pPr>
        <w:rPr>
          <w:lang w:val="en-US"/>
        </w:rPr>
      </w:pPr>
      <w:r>
        <w:rPr>
          <w:lang w:val="en-US"/>
        </w:rPr>
        <w:t xml:space="preserve">During the discussion </w:t>
      </w:r>
      <w:r w:rsidR="00356E9F">
        <w:rPr>
          <w:lang w:val="en-US"/>
        </w:rPr>
        <w:t xml:space="preserve">in the </w:t>
      </w:r>
      <w:r w:rsidR="007D6740" w:rsidRPr="007D6740">
        <w:rPr>
          <w:lang w:val="en-US"/>
        </w:rPr>
        <w:t>RAN1#84</w:t>
      </w:r>
      <w:r w:rsidR="007D6740">
        <w:rPr>
          <w:lang w:val="en-US"/>
        </w:rPr>
        <w:t xml:space="preserve">, some companies pointed out the issue of enabling frequency tracking in the current NPBCH design. The current NPBCH design allows frequency tracking between every 10 </w:t>
      </w:r>
      <w:proofErr w:type="spellStart"/>
      <w:r w:rsidR="007D6740">
        <w:rPr>
          <w:lang w:val="en-US"/>
        </w:rPr>
        <w:t>ms.</w:t>
      </w:r>
      <w:proofErr w:type="spellEnd"/>
      <w:r w:rsidR="007D6740">
        <w:rPr>
          <w:lang w:val="en-US"/>
        </w:rPr>
        <w:t xml:space="preserve"> </w:t>
      </w:r>
      <w:proofErr w:type="gramStart"/>
      <w:r w:rsidR="007D6740">
        <w:rPr>
          <w:lang w:val="en-US"/>
        </w:rPr>
        <w:t>This</w:t>
      </w:r>
      <w:proofErr w:type="gramEnd"/>
      <w:r w:rsidR="007D6740">
        <w:rPr>
          <w:lang w:val="en-US"/>
        </w:rPr>
        <w:t xml:space="preserve"> is good enough for NB-IoT devices </w:t>
      </w:r>
      <w:r w:rsidR="00002708">
        <w:rPr>
          <w:lang w:val="en-US"/>
        </w:rPr>
        <w:t>experiencing</w:t>
      </w:r>
      <w:r w:rsidR="007D6740">
        <w:rPr>
          <w:lang w:val="en-US"/>
        </w:rPr>
        <w:t xml:space="preserve"> slow varying channels. </w:t>
      </w:r>
      <w:proofErr w:type="gramStart"/>
      <w:r w:rsidR="007D6740">
        <w:rPr>
          <w:lang w:val="en-US"/>
        </w:rPr>
        <w:t>The NPBCH design in eMTC uses OFDM symbol repetitions to enable frequency tracking within a subframe.</w:t>
      </w:r>
      <w:proofErr w:type="gramEnd"/>
      <w:r w:rsidR="007D6740">
        <w:rPr>
          <w:lang w:val="en-US"/>
        </w:rPr>
        <w:t xml:space="preserve"> Similar design can also be used in NB-IoT system to enable better frequency tracking. </w:t>
      </w:r>
    </w:p>
    <w:p w14:paraId="01FA2988" w14:textId="281E7599" w:rsidR="00D54E95" w:rsidRPr="007D6740" w:rsidRDefault="007D6740" w:rsidP="00D54E95">
      <w:pPr>
        <w:rPr>
          <w:rFonts w:ascii="Times New Roman" w:hAnsi="Times New Roman"/>
          <w:i/>
          <w:lang w:val="en-US"/>
        </w:rPr>
      </w:pPr>
      <w:r w:rsidRPr="007D6740">
        <w:rPr>
          <w:rFonts w:ascii="Times New Roman" w:hAnsi="Times New Roman"/>
          <w:b/>
          <w:i/>
          <w:lang w:val="en-US"/>
        </w:rPr>
        <w:t xml:space="preserve">Observation </w:t>
      </w:r>
      <w:r w:rsidR="006C1A37">
        <w:rPr>
          <w:rFonts w:ascii="Times New Roman" w:hAnsi="Times New Roman"/>
          <w:b/>
          <w:i/>
          <w:lang w:val="en-US"/>
        </w:rPr>
        <w:t>7</w:t>
      </w:r>
      <w:r w:rsidRPr="007D6740">
        <w:rPr>
          <w:rFonts w:ascii="Times New Roman" w:hAnsi="Times New Roman"/>
          <w:b/>
          <w:i/>
          <w:lang w:val="en-US"/>
        </w:rPr>
        <w:t>:</w:t>
      </w:r>
      <w:r w:rsidRPr="007D6740">
        <w:rPr>
          <w:rFonts w:ascii="Times New Roman" w:hAnsi="Times New Roman"/>
          <w:i/>
          <w:lang w:val="en-US"/>
        </w:rPr>
        <w:t xml:space="preserve"> </w:t>
      </w:r>
      <w:r>
        <w:rPr>
          <w:rFonts w:ascii="Times New Roman" w:hAnsi="Times New Roman"/>
          <w:i/>
          <w:lang w:val="en-US"/>
        </w:rPr>
        <w:t xml:space="preserve">OFDM symbol repetitions within a subframe of NPBCH can be considered to offer better frequency tracking for NPBCH decoding. </w:t>
      </w:r>
    </w:p>
    <w:p w14:paraId="69604CDC" w14:textId="7A72F937" w:rsidR="00055FB3" w:rsidRPr="00E330BC" w:rsidRDefault="00055FB3" w:rsidP="00055FB3">
      <w:pPr>
        <w:pStyle w:val="Heading1"/>
      </w:pPr>
      <w:r>
        <w:t>Conclusions</w:t>
      </w:r>
    </w:p>
    <w:p w14:paraId="31816D18" w14:textId="0FD426BF" w:rsidR="00DB559C" w:rsidRDefault="008C6B59" w:rsidP="00055FB3">
      <w:pPr>
        <w:pStyle w:val="BodyText"/>
      </w:pPr>
      <w:r>
        <w:t xml:space="preserve">Table </w:t>
      </w:r>
      <w:r w:rsidR="00C24651">
        <w:t xml:space="preserve">1 </w:t>
      </w:r>
      <w:r w:rsidR="002B0919">
        <w:t xml:space="preserve">and </w:t>
      </w:r>
      <w:r w:rsidR="002B0919">
        <w:fldChar w:fldCharType="begin"/>
      </w:r>
      <w:r w:rsidR="002B0919">
        <w:instrText xml:space="preserve"> REF _Ref445727139 \h </w:instrText>
      </w:r>
      <w:r w:rsidR="002B0919">
        <w:fldChar w:fldCharType="separate"/>
      </w:r>
      <w:r w:rsidR="00002708">
        <w:t xml:space="preserve">Table </w:t>
      </w:r>
      <w:r w:rsidR="00002708">
        <w:rPr>
          <w:noProof/>
        </w:rPr>
        <w:t>2</w:t>
      </w:r>
      <w:r w:rsidR="002B0919">
        <w:fldChar w:fldCharType="end"/>
      </w:r>
      <w:r w:rsidR="002B0919">
        <w:t xml:space="preserve"> give</w:t>
      </w:r>
      <w:r w:rsidR="00C24651">
        <w:t xml:space="preserve"> </w:t>
      </w:r>
      <w:r w:rsidR="004254B5">
        <w:t xml:space="preserve">an estimation of the MIB content and size of each filed. As we can see, in total </w:t>
      </w:r>
      <w:r w:rsidR="002B0919">
        <w:t>17</w:t>
      </w:r>
      <w:r w:rsidR="004254B5">
        <w:t xml:space="preserve"> </w:t>
      </w:r>
      <w:r w:rsidR="00FC354D">
        <w:t xml:space="preserve">bits </w:t>
      </w:r>
      <w:r w:rsidR="004254B5">
        <w:t>are needed in</w:t>
      </w:r>
      <w:r w:rsidR="002B0919">
        <w:t xml:space="preserve"> the</w:t>
      </w:r>
      <w:r w:rsidR="004254B5">
        <w:t xml:space="preserve"> MIB</w:t>
      </w:r>
      <w:r w:rsidR="002B0919">
        <w:t xml:space="preserve"> for stand-</w:t>
      </w:r>
      <w:r w:rsidR="004E10A8">
        <w:t>alone operation, and in total 24</w:t>
      </w:r>
      <w:r w:rsidR="002B0919">
        <w:t xml:space="preserve"> bits are needed in the MIB for guard-band and in-band operation</w:t>
      </w:r>
      <w:r w:rsidR="004254B5">
        <w:t xml:space="preserve">. </w:t>
      </w:r>
    </w:p>
    <w:p w14:paraId="45723550" w14:textId="427A7023" w:rsidR="008C6B59" w:rsidRDefault="008C6B59" w:rsidP="008C6B59">
      <w:pPr>
        <w:pStyle w:val="Caption"/>
        <w:keepNext/>
      </w:pPr>
      <w:r>
        <w:t xml:space="preserve">Table </w:t>
      </w:r>
      <w:r>
        <w:fldChar w:fldCharType="begin"/>
      </w:r>
      <w:r>
        <w:instrText xml:space="preserve"> SEQ Table \* ARABIC </w:instrText>
      </w:r>
      <w:r>
        <w:fldChar w:fldCharType="separate"/>
      </w:r>
      <w:r w:rsidR="00002708">
        <w:rPr>
          <w:noProof/>
        </w:rPr>
        <w:t>1</w:t>
      </w:r>
      <w:r>
        <w:fldChar w:fldCharType="end"/>
      </w:r>
      <w:r>
        <w:t xml:space="preserve"> MIB content</w:t>
      </w:r>
      <w:r w:rsidR="00C225A1">
        <w:t xml:space="preserve"> stand-alone </w:t>
      </w:r>
    </w:p>
    <w:tbl>
      <w:tblPr>
        <w:tblStyle w:val="TableGrid"/>
        <w:tblW w:w="0" w:type="auto"/>
        <w:jc w:val="center"/>
        <w:tblLook w:val="04A0" w:firstRow="1" w:lastRow="0" w:firstColumn="1" w:lastColumn="0" w:noHBand="0" w:noVBand="1"/>
      </w:tblPr>
      <w:tblGrid>
        <w:gridCol w:w="3145"/>
        <w:gridCol w:w="5894"/>
      </w:tblGrid>
      <w:tr w:rsidR="00C24651" w14:paraId="50741949" w14:textId="40C0C1F1" w:rsidTr="00FB6E02">
        <w:trPr>
          <w:jc w:val="center"/>
        </w:trPr>
        <w:tc>
          <w:tcPr>
            <w:tcW w:w="3145" w:type="dxa"/>
          </w:tcPr>
          <w:p w14:paraId="2C913938" w14:textId="65C4A0B4" w:rsidR="00C24651" w:rsidRDefault="00C24651" w:rsidP="00FC354D">
            <w:pPr>
              <w:pStyle w:val="BodyText"/>
            </w:pPr>
            <w:r>
              <w:t>Fi</w:t>
            </w:r>
            <w:r w:rsidR="00FC354D">
              <w:t>e</w:t>
            </w:r>
            <w:r>
              <w:t>ld</w:t>
            </w:r>
          </w:p>
        </w:tc>
        <w:tc>
          <w:tcPr>
            <w:tcW w:w="5894" w:type="dxa"/>
          </w:tcPr>
          <w:p w14:paraId="5A4CD429" w14:textId="2F2607CC" w:rsidR="00C24651" w:rsidRDefault="00C24651" w:rsidP="009D5065">
            <w:pPr>
              <w:pStyle w:val="BodyText"/>
            </w:pPr>
            <w:r>
              <w:t>Size (bits)</w:t>
            </w:r>
          </w:p>
        </w:tc>
      </w:tr>
      <w:tr w:rsidR="00C24651" w14:paraId="7C42764D" w14:textId="6666C65C" w:rsidTr="00FB6E02">
        <w:trPr>
          <w:jc w:val="center"/>
        </w:trPr>
        <w:tc>
          <w:tcPr>
            <w:tcW w:w="3145" w:type="dxa"/>
          </w:tcPr>
          <w:p w14:paraId="10FAF10B" w14:textId="73471BBC" w:rsidR="00C24651" w:rsidRDefault="00C24651" w:rsidP="00055FB3">
            <w:pPr>
              <w:pStyle w:val="BodyText"/>
            </w:pPr>
            <w:r>
              <w:t>SFN</w:t>
            </w:r>
          </w:p>
        </w:tc>
        <w:tc>
          <w:tcPr>
            <w:tcW w:w="5894" w:type="dxa"/>
          </w:tcPr>
          <w:p w14:paraId="05FDFF94" w14:textId="0D8353DF" w:rsidR="00C24651" w:rsidRDefault="00C24651" w:rsidP="00055FB3">
            <w:pPr>
              <w:pStyle w:val="BodyText"/>
            </w:pPr>
            <w:r>
              <w:t>4</w:t>
            </w:r>
          </w:p>
        </w:tc>
      </w:tr>
      <w:tr w:rsidR="00C24651" w14:paraId="53F33F4E" w14:textId="77777777" w:rsidTr="00FB6E02">
        <w:trPr>
          <w:jc w:val="center"/>
        </w:trPr>
        <w:tc>
          <w:tcPr>
            <w:tcW w:w="3145" w:type="dxa"/>
          </w:tcPr>
          <w:p w14:paraId="2808FCBF" w14:textId="2662A350" w:rsidR="00C24651" w:rsidRDefault="00C24651" w:rsidP="00C24651">
            <w:pPr>
              <w:pStyle w:val="BodyText"/>
            </w:pPr>
            <w:r w:rsidRPr="00C24651">
              <w:t>Operation mode</w:t>
            </w:r>
          </w:p>
        </w:tc>
        <w:tc>
          <w:tcPr>
            <w:tcW w:w="5894" w:type="dxa"/>
          </w:tcPr>
          <w:p w14:paraId="7BD4EDFF" w14:textId="00C1EC37" w:rsidR="00C24651" w:rsidRDefault="00785B28" w:rsidP="00055FB3">
            <w:pPr>
              <w:pStyle w:val="BodyText"/>
            </w:pPr>
            <w:r>
              <w:t>1</w:t>
            </w:r>
            <w:r w:rsidR="00EA2D7D">
              <w:t>, to indicate whether it is stand-alone or not.</w:t>
            </w:r>
          </w:p>
        </w:tc>
      </w:tr>
      <w:tr w:rsidR="007C41DF" w14:paraId="036E8AD0" w14:textId="77777777" w:rsidTr="00FB6E02">
        <w:trPr>
          <w:jc w:val="center"/>
        </w:trPr>
        <w:tc>
          <w:tcPr>
            <w:tcW w:w="3145" w:type="dxa"/>
          </w:tcPr>
          <w:p w14:paraId="6350E2EE" w14:textId="028BD897" w:rsidR="007C41DF" w:rsidRPr="00EA2D7D" w:rsidRDefault="007C41DF" w:rsidP="00EA2D7D">
            <w:pPr>
              <w:pStyle w:val="BodyText"/>
            </w:pPr>
            <w:r w:rsidRPr="00EA2D7D">
              <w:t xml:space="preserve">The number of </w:t>
            </w:r>
            <w:r w:rsidR="00EA2D7D" w:rsidRPr="00EA2D7D">
              <w:t>antenna</w:t>
            </w:r>
            <w:r w:rsidRPr="00EA2D7D">
              <w:t xml:space="preserve"> ports</w:t>
            </w:r>
          </w:p>
        </w:tc>
        <w:tc>
          <w:tcPr>
            <w:tcW w:w="5894" w:type="dxa"/>
          </w:tcPr>
          <w:p w14:paraId="311EBE12" w14:textId="4508E18E" w:rsidR="007C41DF" w:rsidRPr="00EA2D7D" w:rsidRDefault="007C41DF" w:rsidP="00055FB3">
            <w:pPr>
              <w:pStyle w:val="BodyText"/>
            </w:pPr>
            <w:r w:rsidRPr="00EA2D7D">
              <w:t>1</w:t>
            </w:r>
            <w:r w:rsidR="00EA2D7D" w:rsidRPr="00EA2D7D">
              <w:t>, reserved for further release</w:t>
            </w:r>
            <w:r w:rsidR="00EA2D7D">
              <w:t>s.</w:t>
            </w:r>
          </w:p>
        </w:tc>
      </w:tr>
      <w:tr w:rsidR="00C24651" w14:paraId="08E6B593" w14:textId="31ECCB2A" w:rsidTr="00FB6E02">
        <w:trPr>
          <w:jc w:val="center"/>
        </w:trPr>
        <w:tc>
          <w:tcPr>
            <w:tcW w:w="3145" w:type="dxa"/>
          </w:tcPr>
          <w:p w14:paraId="7BBABCAE" w14:textId="63CA9A2E" w:rsidR="00C24651" w:rsidRDefault="00C24651" w:rsidP="00055FB3">
            <w:pPr>
              <w:pStyle w:val="BodyText"/>
            </w:pPr>
            <w:r w:rsidRPr="008C6B59">
              <w:t>FDD/TDD indication</w:t>
            </w:r>
            <w:r>
              <w:t xml:space="preserve"> (reserved for future use)</w:t>
            </w:r>
          </w:p>
        </w:tc>
        <w:tc>
          <w:tcPr>
            <w:tcW w:w="5894" w:type="dxa"/>
          </w:tcPr>
          <w:p w14:paraId="45E54DCE" w14:textId="75F1D927" w:rsidR="00C24651" w:rsidRDefault="00C24651" w:rsidP="00055FB3">
            <w:pPr>
              <w:pStyle w:val="BodyText"/>
            </w:pPr>
            <w:r>
              <w:t>(1)</w:t>
            </w:r>
          </w:p>
        </w:tc>
      </w:tr>
      <w:tr w:rsidR="00C24651" w14:paraId="76952685" w14:textId="3FE080B0" w:rsidTr="00FB6E02">
        <w:trPr>
          <w:jc w:val="center"/>
        </w:trPr>
        <w:tc>
          <w:tcPr>
            <w:tcW w:w="3145" w:type="dxa"/>
          </w:tcPr>
          <w:p w14:paraId="15D084CC" w14:textId="3CD7DB65" w:rsidR="00C24651" w:rsidRDefault="00C24651" w:rsidP="00055FB3">
            <w:pPr>
              <w:pStyle w:val="BodyText"/>
            </w:pPr>
            <w:r>
              <w:t>SIB1 scheduling info. and TBS</w:t>
            </w:r>
          </w:p>
        </w:tc>
        <w:tc>
          <w:tcPr>
            <w:tcW w:w="5894" w:type="dxa"/>
          </w:tcPr>
          <w:p w14:paraId="7B834904" w14:textId="2F39EFD7" w:rsidR="00C24651" w:rsidRDefault="00256811" w:rsidP="00256811">
            <w:pPr>
              <w:pStyle w:val="BodyText"/>
            </w:pPr>
            <w:r>
              <w:t>4</w:t>
            </w:r>
          </w:p>
        </w:tc>
      </w:tr>
      <w:tr w:rsidR="00C24651" w14:paraId="25D1DA0B" w14:textId="31BE8C4B" w:rsidTr="00FB6E02">
        <w:trPr>
          <w:jc w:val="center"/>
        </w:trPr>
        <w:tc>
          <w:tcPr>
            <w:tcW w:w="3145" w:type="dxa"/>
          </w:tcPr>
          <w:p w14:paraId="52F3B720" w14:textId="550F3EBA" w:rsidR="00C24651" w:rsidRDefault="00C24651" w:rsidP="00055FB3">
            <w:pPr>
              <w:pStyle w:val="BodyText"/>
            </w:pPr>
            <w:r>
              <w:t>Access barring info.</w:t>
            </w:r>
          </w:p>
        </w:tc>
        <w:tc>
          <w:tcPr>
            <w:tcW w:w="5894" w:type="dxa"/>
          </w:tcPr>
          <w:p w14:paraId="6AC5155F" w14:textId="2C997654" w:rsidR="00C24651" w:rsidRDefault="00C24651" w:rsidP="00055FB3">
            <w:pPr>
              <w:pStyle w:val="BodyText"/>
            </w:pPr>
            <w:r w:rsidRPr="00C24651">
              <w:t xml:space="preserve">Estimated to be </w:t>
            </w:r>
            <w:r>
              <w:t>1</w:t>
            </w:r>
            <w:r w:rsidR="004254B5">
              <w:t xml:space="preserve"> </w:t>
            </w:r>
            <w:r w:rsidR="004254B5" w:rsidRPr="004254B5">
              <w:t>(Decision should be made in RAN2)</w:t>
            </w:r>
          </w:p>
        </w:tc>
      </w:tr>
      <w:tr w:rsidR="00C24651" w14:paraId="4500FC65" w14:textId="77777777" w:rsidTr="00FB6E02">
        <w:trPr>
          <w:jc w:val="center"/>
        </w:trPr>
        <w:tc>
          <w:tcPr>
            <w:tcW w:w="3145" w:type="dxa"/>
          </w:tcPr>
          <w:p w14:paraId="7DA41B34" w14:textId="07016108" w:rsidR="00C24651" w:rsidRDefault="00C24651" w:rsidP="00055FB3">
            <w:pPr>
              <w:pStyle w:val="BodyText"/>
            </w:pPr>
            <w:r>
              <w:t xml:space="preserve">Value tag indicate system info </w:t>
            </w:r>
            <w:r>
              <w:lastRenderedPageBreak/>
              <w:t>change</w:t>
            </w:r>
          </w:p>
        </w:tc>
        <w:tc>
          <w:tcPr>
            <w:tcW w:w="5894" w:type="dxa"/>
          </w:tcPr>
          <w:p w14:paraId="1BB48D35" w14:textId="7BD66770" w:rsidR="00C24651" w:rsidRDefault="00C24651" w:rsidP="00055FB3">
            <w:pPr>
              <w:pStyle w:val="BodyText"/>
            </w:pPr>
            <w:r>
              <w:lastRenderedPageBreak/>
              <w:t>Estimated to be 5</w:t>
            </w:r>
            <w:r w:rsidR="004254B5">
              <w:t xml:space="preserve"> </w:t>
            </w:r>
            <w:r w:rsidR="004254B5" w:rsidRPr="004254B5">
              <w:t>(Decision should be made in RAN2)</w:t>
            </w:r>
          </w:p>
        </w:tc>
      </w:tr>
      <w:tr w:rsidR="00C24651" w14:paraId="5690978C" w14:textId="776EB310" w:rsidTr="00FB6E02">
        <w:trPr>
          <w:jc w:val="center"/>
        </w:trPr>
        <w:tc>
          <w:tcPr>
            <w:tcW w:w="3145" w:type="dxa"/>
          </w:tcPr>
          <w:p w14:paraId="6675B904" w14:textId="638D8588" w:rsidR="00C24651" w:rsidRDefault="00C24651" w:rsidP="00055FB3">
            <w:pPr>
              <w:pStyle w:val="BodyText"/>
            </w:pPr>
            <w:r>
              <w:lastRenderedPageBreak/>
              <w:t>Total Size</w:t>
            </w:r>
          </w:p>
        </w:tc>
        <w:tc>
          <w:tcPr>
            <w:tcW w:w="5894" w:type="dxa"/>
          </w:tcPr>
          <w:p w14:paraId="4D47CD02" w14:textId="31DAE66A" w:rsidR="00C24651" w:rsidRDefault="007C41DF" w:rsidP="007C41DF">
            <w:pPr>
              <w:pStyle w:val="BodyText"/>
            </w:pPr>
            <w:r>
              <w:t>Estimated to be</w:t>
            </w:r>
            <w:r w:rsidR="00926BD4">
              <w:t xml:space="preserve"> 17</w:t>
            </w:r>
          </w:p>
        </w:tc>
      </w:tr>
    </w:tbl>
    <w:p w14:paraId="0C3CDEE0" w14:textId="77777777" w:rsidR="008C6B59" w:rsidRDefault="008C6B59" w:rsidP="00055FB3">
      <w:pPr>
        <w:pStyle w:val="BodyText"/>
      </w:pPr>
    </w:p>
    <w:p w14:paraId="56279278" w14:textId="77777777" w:rsidR="00C225A1" w:rsidRDefault="00C225A1" w:rsidP="00055FB3">
      <w:pPr>
        <w:pStyle w:val="BodyText"/>
      </w:pPr>
    </w:p>
    <w:p w14:paraId="38F63B99" w14:textId="3ED332D2" w:rsidR="00C225A1" w:rsidRDefault="00C225A1" w:rsidP="00C225A1">
      <w:pPr>
        <w:pStyle w:val="Caption"/>
        <w:keepNext/>
      </w:pPr>
      <w:bookmarkStart w:id="3" w:name="_Ref445727139"/>
      <w:r>
        <w:t xml:space="preserve">Table </w:t>
      </w:r>
      <w:r>
        <w:fldChar w:fldCharType="begin"/>
      </w:r>
      <w:r>
        <w:instrText xml:space="preserve"> SEQ Table \* ARABIC </w:instrText>
      </w:r>
      <w:r>
        <w:fldChar w:fldCharType="separate"/>
      </w:r>
      <w:r w:rsidR="00002708">
        <w:rPr>
          <w:noProof/>
        </w:rPr>
        <w:t>2</w:t>
      </w:r>
      <w:r>
        <w:fldChar w:fldCharType="end"/>
      </w:r>
      <w:bookmarkEnd w:id="3"/>
      <w:r>
        <w:t xml:space="preserve"> </w:t>
      </w:r>
      <w:bookmarkStart w:id="4" w:name="_Ref445727129"/>
      <w:r>
        <w:t>MIB content in-band</w:t>
      </w:r>
      <w:r w:rsidR="00785B28">
        <w:t xml:space="preserve"> </w:t>
      </w:r>
      <w:r w:rsidR="00785B28" w:rsidRPr="00785B28">
        <w:t>and guard-band</w:t>
      </w:r>
      <w:bookmarkEnd w:id="4"/>
    </w:p>
    <w:tbl>
      <w:tblPr>
        <w:tblStyle w:val="TableGrid"/>
        <w:tblW w:w="0" w:type="auto"/>
        <w:jc w:val="center"/>
        <w:tblLook w:val="04A0" w:firstRow="1" w:lastRow="0" w:firstColumn="1" w:lastColumn="0" w:noHBand="0" w:noVBand="1"/>
      </w:tblPr>
      <w:tblGrid>
        <w:gridCol w:w="3145"/>
        <w:gridCol w:w="5894"/>
      </w:tblGrid>
      <w:tr w:rsidR="00C225A1" w14:paraId="189AEB40" w14:textId="77777777" w:rsidTr="00AA57AD">
        <w:trPr>
          <w:jc w:val="center"/>
        </w:trPr>
        <w:tc>
          <w:tcPr>
            <w:tcW w:w="3145" w:type="dxa"/>
          </w:tcPr>
          <w:p w14:paraId="59593299" w14:textId="4356030A" w:rsidR="00C225A1" w:rsidRDefault="00C225A1" w:rsidP="00FC354D">
            <w:pPr>
              <w:pStyle w:val="BodyText"/>
            </w:pPr>
            <w:r>
              <w:t>Fi</w:t>
            </w:r>
            <w:r w:rsidR="00FC354D">
              <w:t>e</w:t>
            </w:r>
            <w:r>
              <w:t>ld</w:t>
            </w:r>
          </w:p>
        </w:tc>
        <w:tc>
          <w:tcPr>
            <w:tcW w:w="5894" w:type="dxa"/>
          </w:tcPr>
          <w:p w14:paraId="4DF70580" w14:textId="77777777" w:rsidR="00C225A1" w:rsidRDefault="00C225A1" w:rsidP="00AA57AD">
            <w:pPr>
              <w:pStyle w:val="BodyText"/>
            </w:pPr>
            <w:r>
              <w:t>Size (bits)</w:t>
            </w:r>
          </w:p>
        </w:tc>
      </w:tr>
      <w:tr w:rsidR="00C225A1" w14:paraId="15F352C3" w14:textId="77777777" w:rsidTr="00AA57AD">
        <w:trPr>
          <w:jc w:val="center"/>
        </w:trPr>
        <w:tc>
          <w:tcPr>
            <w:tcW w:w="3145" w:type="dxa"/>
          </w:tcPr>
          <w:p w14:paraId="0A3FB15F" w14:textId="77777777" w:rsidR="00C225A1" w:rsidRDefault="00C225A1" w:rsidP="00AA57AD">
            <w:pPr>
              <w:pStyle w:val="BodyText"/>
            </w:pPr>
            <w:r>
              <w:t>SFN</w:t>
            </w:r>
          </w:p>
        </w:tc>
        <w:tc>
          <w:tcPr>
            <w:tcW w:w="5894" w:type="dxa"/>
          </w:tcPr>
          <w:p w14:paraId="4884490D" w14:textId="77777777" w:rsidR="00C225A1" w:rsidRDefault="00C225A1" w:rsidP="00AA57AD">
            <w:pPr>
              <w:pStyle w:val="BodyText"/>
            </w:pPr>
            <w:r>
              <w:t>4</w:t>
            </w:r>
          </w:p>
        </w:tc>
      </w:tr>
      <w:tr w:rsidR="00785B28" w14:paraId="69D253FE" w14:textId="77777777" w:rsidTr="00AA57AD">
        <w:trPr>
          <w:jc w:val="center"/>
        </w:trPr>
        <w:tc>
          <w:tcPr>
            <w:tcW w:w="3145" w:type="dxa"/>
          </w:tcPr>
          <w:p w14:paraId="5137D9D0" w14:textId="196335B4" w:rsidR="00785B28" w:rsidRDefault="00785B28" w:rsidP="00AA57AD">
            <w:pPr>
              <w:pStyle w:val="BodyText"/>
            </w:pPr>
            <w:r w:rsidRPr="00C24651">
              <w:t>Operation mode</w:t>
            </w:r>
          </w:p>
        </w:tc>
        <w:tc>
          <w:tcPr>
            <w:tcW w:w="5894" w:type="dxa"/>
          </w:tcPr>
          <w:p w14:paraId="66ABD9E0" w14:textId="120965B9" w:rsidR="00785B28" w:rsidRDefault="00785B28" w:rsidP="00AA57AD">
            <w:pPr>
              <w:pStyle w:val="BodyText"/>
            </w:pPr>
            <w:r>
              <w:t>1</w:t>
            </w:r>
            <w:r w:rsidR="00EA2D7D" w:rsidRPr="00EA2D7D">
              <w:t>, to indicate whether it is stand-alone or not.</w:t>
            </w:r>
          </w:p>
        </w:tc>
      </w:tr>
      <w:tr w:rsidR="00785B28" w14:paraId="0A1B56A9" w14:textId="77777777" w:rsidTr="00AA57AD">
        <w:trPr>
          <w:jc w:val="center"/>
        </w:trPr>
        <w:tc>
          <w:tcPr>
            <w:tcW w:w="3145" w:type="dxa"/>
          </w:tcPr>
          <w:p w14:paraId="32BAD0EB" w14:textId="77777777" w:rsidR="00785B28" w:rsidRDefault="00785B28" w:rsidP="00AA57AD">
            <w:pPr>
              <w:pStyle w:val="BodyText"/>
            </w:pPr>
            <w:r>
              <w:t>PRB index for in-band operation</w:t>
            </w:r>
          </w:p>
        </w:tc>
        <w:tc>
          <w:tcPr>
            <w:tcW w:w="5894" w:type="dxa"/>
          </w:tcPr>
          <w:p w14:paraId="43ED8530" w14:textId="092C4275" w:rsidR="00785B28" w:rsidRDefault="00785B28" w:rsidP="00AA57AD">
            <w:pPr>
              <w:pStyle w:val="BodyText"/>
            </w:pPr>
            <w:r>
              <w:t>5</w:t>
            </w:r>
            <w:r w:rsidR="00EA2D7D">
              <w:t>, including indication of guar-band operation</w:t>
            </w:r>
          </w:p>
        </w:tc>
      </w:tr>
      <w:tr w:rsidR="00785B28" w14:paraId="562CA3B0" w14:textId="77777777" w:rsidTr="00AA57AD">
        <w:trPr>
          <w:jc w:val="center"/>
        </w:trPr>
        <w:tc>
          <w:tcPr>
            <w:tcW w:w="3145" w:type="dxa"/>
          </w:tcPr>
          <w:p w14:paraId="2490FF00" w14:textId="77777777" w:rsidR="00785B28" w:rsidRPr="00C24651" w:rsidRDefault="00785B28" w:rsidP="00AA57AD">
            <w:pPr>
              <w:pStyle w:val="BodyText"/>
            </w:pPr>
            <w:r w:rsidRPr="00C24651">
              <w:t>Channel raster offset</w:t>
            </w:r>
          </w:p>
        </w:tc>
        <w:tc>
          <w:tcPr>
            <w:tcW w:w="5894" w:type="dxa"/>
          </w:tcPr>
          <w:p w14:paraId="6993623D" w14:textId="7219D850" w:rsidR="00785B28" w:rsidRDefault="00926BD4" w:rsidP="00AA57AD">
            <w:pPr>
              <w:pStyle w:val="BodyText"/>
            </w:pPr>
            <w:r>
              <w:t>1</w:t>
            </w:r>
          </w:p>
        </w:tc>
      </w:tr>
      <w:tr w:rsidR="00785B28" w14:paraId="326B372A" w14:textId="77777777" w:rsidTr="00AA57AD">
        <w:trPr>
          <w:jc w:val="center"/>
        </w:trPr>
        <w:tc>
          <w:tcPr>
            <w:tcW w:w="3145" w:type="dxa"/>
          </w:tcPr>
          <w:p w14:paraId="3799E97A" w14:textId="2CBE2B3D" w:rsidR="00785B28" w:rsidRPr="00926BD4" w:rsidRDefault="00785B28" w:rsidP="00AA57AD">
            <w:pPr>
              <w:pStyle w:val="BodyText"/>
            </w:pPr>
            <w:r w:rsidRPr="00926BD4">
              <w:t>The number of CRS ports</w:t>
            </w:r>
          </w:p>
        </w:tc>
        <w:tc>
          <w:tcPr>
            <w:tcW w:w="5894" w:type="dxa"/>
          </w:tcPr>
          <w:p w14:paraId="269EBAA6" w14:textId="168D9CA1" w:rsidR="00785B28" w:rsidRPr="00926BD4" w:rsidRDefault="00785B28" w:rsidP="00AA57AD">
            <w:pPr>
              <w:pStyle w:val="BodyText"/>
            </w:pPr>
            <w:r w:rsidRPr="00926BD4">
              <w:t>1</w:t>
            </w:r>
          </w:p>
        </w:tc>
      </w:tr>
      <w:tr w:rsidR="004E10A8" w14:paraId="52E0F886" w14:textId="77777777" w:rsidTr="00AA57AD">
        <w:trPr>
          <w:jc w:val="center"/>
        </w:trPr>
        <w:tc>
          <w:tcPr>
            <w:tcW w:w="3145" w:type="dxa"/>
          </w:tcPr>
          <w:p w14:paraId="0777B990" w14:textId="1BAAFFA1" w:rsidR="004E10A8" w:rsidRPr="00926BD4" w:rsidRDefault="004E10A8" w:rsidP="00AA57AD">
            <w:pPr>
              <w:pStyle w:val="BodyText"/>
            </w:pPr>
            <w:r>
              <w:t>Same PCI indication</w:t>
            </w:r>
          </w:p>
        </w:tc>
        <w:tc>
          <w:tcPr>
            <w:tcW w:w="5894" w:type="dxa"/>
          </w:tcPr>
          <w:p w14:paraId="1716705A" w14:textId="0A1D79E4" w:rsidR="004E10A8" w:rsidRPr="00926BD4" w:rsidRDefault="004E10A8" w:rsidP="00AA57AD">
            <w:pPr>
              <w:pStyle w:val="BodyText"/>
            </w:pPr>
            <w:r>
              <w:t>1</w:t>
            </w:r>
          </w:p>
        </w:tc>
      </w:tr>
      <w:tr w:rsidR="00785B28" w14:paraId="264D133C" w14:textId="77777777" w:rsidTr="00AA57AD">
        <w:trPr>
          <w:jc w:val="center"/>
        </w:trPr>
        <w:tc>
          <w:tcPr>
            <w:tcW w:w="3145" w:type="dxa"/>
          </w:tcPr>
          <w:p w14:paraId="09907580" w14:textId="77777777" w:rsidR="00785B28" w:rsidRDefault="00785B28" w:rsidP="00AA57AD">
            <w:pPr>
              <w:pStyle w:val="BodyText"/>
            </w:pPr>
            <w:r w:rsidRPr="008C6B59">
              <w:t>FDD/TDD indication</w:t>
            </w:r>
            <w:r>
              <w:t xml:space="preserve"> (reserved for future use)</w:t>
            </w:r>
          </w:p>
        </w:tc>
        <w:tc>
          <w:tcPr>
            <w:tcW w:w="5894" w:type="dxa"/>
          </w:tcPr>
          <w:p w14:paraId="05F86BD2" w14:textId="77777777" w:rsidR="00785B28" w:rsidRDefault="00785B28" w:rsidP="00AA57AD">
            <w:pPr>
              <w:pStyle w:val="BodyText"/>
            </w:pPr>
            <w:r>
              <w:t>(1)</w:t>
            </w:r>
          </w:p>
        </w:tc>
      </w:tr>
      <w:tr w:rsidR="00785B28" w14:paraId="4A52F857" w14:textId="77777777" w:rsidTr="00AA57AD">
        <w:trPr>
          <w:jc w:val="center"/>
        </w:trPr>
        <w:tc>
          <w:tcPr>
            <w:tcW w:w="3145" w:type="dxa"/>
          </w:tcPr>
          <w:p w14:paraId="75E7A442" w14:textId="77777777" w:rsidR="00785B28" w:rsidRDefault="00785B28" w:rsidP="00AA57AD">
            <w:pPr>
              <w:pStyle w:val="BodyText"/>
            </w:pPr>
            <w:r>
              <w:t>SIB1 scheduling info. and TBS</w:t>
            </w:r>
          </w:p>
        </w:tc>
        <w:tc>
          <w:tcPr>
            <w:tcW w:w="5894" w:type="dxa"/>
          </w:tcPr>
          <w:p w14:paraId="52957269" w14:textId="0813FA50" w:rsidR="00785B28" w:rsidRDefault="00785B28" w:rsidP="00AA57AD">
            <w:pPr>
              <w:pStyle w:val="BodyText"/>
            </w:pPr>
            <w:r>
              <w:t>4</w:t>
            </w:r>
          </w:p>
        </w:tc>
      </w:tr>
      <w:tr w:rsidR="00785B28" w14:paraId="1E1526EB" w14:textId="77777777" w:rsidTr="00AA57AD">
        <w:trPr>
          <w:jc w:val="center"/>
        </w:trPr>
        <w:tc>
          <w:tcPr>
            <w:tcW w:w="3145" w:type="dxa"/>
          </w:tcPr>
          <w:p w14:paraId="6C0E0568" w14:textId="77777777" w:rsidR="00785B28" w:rsidRDefault="00785B28" w:rsidP="00AA57AD">
            <w:pPr>
              <w:pStyle w:val="BodyText"/>
            </w:pPr>
            <w:r>
              <w:t>Access barring info.</w:t>
            </w:r>
          </w:p>
        </w:tc>
        <w:tc>
          <w:tcPr>
            <w:tcW w:w="5894" w:type="dxa"/>
          </w:tcPr>
          <w:p w14:paraId="70F264E2" w14:textId="77777777" w:rsidR="00785B28" w:rsidRDefault="00785B28" w:rsidP="00AA57AD">
            <w:pPr>
              <w:pStyle w:val="BodyText"/>
            </w:pPr>
            <w:r w:rsidRPr="00C24651">
              <w:t xml:space="preserve">Estimated to be </w:t>
            </w:r>
            <w:r>
              <w:t xml:space="preserve">1 </w:t>
            </w:r>
            <w:r w:rsidRPr="004254B5">
              <w:t>(Decision should be made in RAN2)</w:t>
            </w:r>
          </w:p>
        </w:tc>
      </w:tr>
      <w:tr w:rsidR="00785B28" w14:paraId="535E7D4A" w14:textId="77777777" w:rsidTr="00AA57AD">
        <w:trPr>
          <w:jc w:val="center"/>
        </w:trPr>
        <w:tc>
          <w:tcPr>
            <w:tcW w:w="3145" w:type="dxa"/>
          </w:tcPr>
          <w:p w14:paraId="0B6C327F" w14:textId="77777777" w:rsidR="00785B28" w:rsidRDefault="00785B28" w:rsidP="00AA57AD">
            <w:pPr>
              <w:pStyle w:val="BodyText"/>
            </w:pPr>
            <w:r>
              <w:t>Value tag indicate system info change</w:t>
            </w:r>
          </w:p>
        </w:tc>
        <w:tc>
          <w:tcPr>
            <w:tcW w:w="5894" w:type="dxa"/>
          </w:tcPr>
          <w:p w14:paraId="50D9ECCE" w14:textId="77777777" w:rsidR="00785B28" w:rsidRDefault="00785B28" w:rsidP="00AA57AD">
            <w:pPr>
              <w:pStyle w:val="BodyText"/>
            </w:pPr>
            <w:r>
              <w:t xml:space="preserve">Estimated to be 5 </w:t>
            </w:r>
            <w:r w:rsidRPr="004254B5">
              <w:t>(Decision should be made in RAN2)</w:t>
            </w:r>
          </w:p>
        </w:tc>
      </w:tr>
      <w:tr w:rsidR="00785B28" w14:paraId="040BB24D" w14:textId="77777777" w:rsidTr="00AA57AD">
        <w:trPr>
          <w:jc w:val="center"/>
        </w:trPr>
        <w:tc>
          <w:tcPr>
            <w:tcW w:w="3145" w:type="dxa"/>
          </w:tcPr>
          <w:p w14:paraId="6AF973A5" w14:textId="77777777" w:rsidR="00785B28" w:rsidRDefault="00785B28" w:rsidP="00AA57AD">
            <w:pPr>
              <w:pStyle w:val="BodyText"/>
            </w:pPr>
            <w:r>
              <w:t>Total Size</w:t>
            </w:r>
          </w:p>
        </w:tc>
        <w:tc>
          <w:tcPr>
            <w:tcW w:w="5894" w:type="dxa"/>
          </w:tcPr>
          <w:p w14:paraId="7ED67321" w14:textId="2FE6BE55" w:rsidR="00785B28" w:rsidRDefault="004E10A8" w:rsidP="00B2543C">
            <w:pPr>
              <w:pStyle w:val="BodyText"/>
            </w:pPr>
            <w:r>
              <w:t>Estimated to be 24</w:t>
            </w:r>
          </w:p>
        </w:tc>
      </w:tr>
    </w:tbl>
    <w:p w14:paraId="62C19ECE" w14:textId="77777777" w:rsidR="00C225A1" w:rsidRDefault="00C225A1" w:rsidP="00055FB3">
      <w:pPr>
        <w:pStyle w:val="BodyText"/>
      </w:pPr>
    </w:p>
    <w:p w14:paraId="62580B45" w14:textId="31916BE1" w:rsidR="00A327D0" w:rsidRDefault="00A327D0" w:rsidP="00055FB3">
      <w:pPr>
        <w:pStyle w:val="BodyText"/>
      </w:pPr>
      <w:r>
        <w:t>Base on the discussion above, we have the following proposals and observations.</w:t>
      </w:r>
    </w:p>
    <w:p w14:paraId="63A834F9" w14:textId="77777777" w:rsidR="00E36E54" w:rsidRDefault="00E36E54" w:rsidP="00E36E54">
      <w:pPr>
        <w:rPr>
          <w:rFonts w:ascii="Times New Roman" w:hAnsi="Times New Roman"/>
          <w:i/>
          <w:noProof/>
          <w:color w:val="000000" w:themeColor="text1"/>
          <w:lang w:val="en-US"/>
        </w:rPr>
      </w:pPr>
      <w:r w:rsidRPr="00A52FF9">
        <w:rPr>
          <w:rFonts w:ascii="Times New Roman" w:hAnsi="Times New Roman"/>
          <w:b/>
          <w:i/>
          <w:noProof/>
          <w:color w:val="000000" w:themeColor="text1"/>
          <w:lang w:val="en-US"/>
        </w:rPr>
        <w:t xml:space="preserve">Proposal </w:t>
      </w:r>
      <w:r>
        <w:rPr>
          <w:rFonts w:ascii="Times New Roman" w:hAnsi="Times New Roman"/>
          <w:b/>
          <w:i/>
          <w:noProof/>
          <w:color w:val="000000" w:themeColor="text1"/>
          <w:lang w:val="en-US"/>
        </w:rPr>
        <w:t>1</w:t>
      </w:r>
      <w:r w:rsidRPr="00A327D0">
        <w:rPr>
          <w:rFonts w:ascii="Times New Roman" w:hAnsi="Times New Roman"/>
          <w:b/>
          <w:i/>
          <w:noProof/>
          <w:color w:val="000000" w:themeColor="text1"/>
          <w:lang w:val="en-US"/>
        </w:rPr>
        <w:t>:</w:t>
      </w:r>
      <w:r>
        <w:rPr>
          <w:rFonts w:ascii="Times New Roman" w:hAnsi="Times New Roman"/>
          <w:b/>
          <w:i/>
          <w:noProof/>
          <w:color w:val="000000" w:themeColor="text1"/>
          <w:lang w:val="en-US"/>
        </w:rPr>
        <w:t xml:space="preserve"> </w:t>
      </w:r>
      <w:r>
        <w:rPr>
          <w:rFonts w:ascii="Times New Roman" w:hAnsi="Times New Roman"/>
          <w:i/>
          <w:noProof/>
          <w:color w:val="000000" w:themeColor="text1"/>
          <w:lang w:val="en-US"/>
        </w:rPr>
        <w:t xml:space="preserve">It is proposed to signal the PRB indexing offset from the middle of the LTE system. </w:t>
      </w:r>
    </w:p>
    <w:p w14:paraId="2BEA9E47" w14:textId="77777777" w:rsidR="00E36E54" w:rsidRDefault="00E36E54" w:rsidP="00E36E54">
      <w:pPr>
        <w:rPr>
          <w:rFonts w:ascii="Times New Roman" w:hAnsi="Times New Roman"/>
          <w:i/>
          <w:lang w:val="en-US"/>
        </w:rPr>
      </w:pPr>
      <w:r>
        <w:rPr>
          <w:rFonts w:ascii="Times New Roman" w:hAnsi="Times New Roman"/>
          <w:b/>
          <w:i/>
          <w:lang w:val="en-US"/>
        </w:rPr>
        <w:t>Proposal 2</w:t>
      </w:r>
      <w:r w:rsidRPr="000F2CDB">
        <w:rPr>
          <w:rFonts w:ascii="Times New Roman" w:hAnsi="Times New Roman"/>
          <w:b/>
          <w:i/>
          <w:lang w:val="en-US"/>
        </w:rPr>
        <w:t>:</w:t>
      </w:r>
      <w:r>
        <w:rPr>
          <w:rFonts w:ascii="Times New Roman" w:hAnsi="Times New Roman"/>
          <w:b/>
          <w:i/>
          <w:lang w:val="en-US"/>
        </w:rPr>
        <w:t xml:space="preserve"> </w:t>
      </w:r>
      <w:r w:rsidRPr="00A9233B">
        <w:rPr>
          <w:rFonts w:ascii="Times New Roman" w:hAnsi="Times New Roman"/>
          <w:i/>
          <w:lang w:val="en-US"/>
        </w:rPr>
        <w:t>The</w:t>
      </w:r>
      <w:r w:rsidRPr="000F2CDB">
        <w:rPr>
          <w:rFonts w:ascii="Times New Roman" w:hAnsi="Times New Roman"/>
          <w:i/>
          <w:lang w:val="en-US"/>
        </w:rPr>
        <w:t xml:space="preserve"> </w:t>
      </w:r>
      <w:r>
        <w:rPr>
          <w:rFonts w:ascii="Times New Roman" w:hAnsi="Times New Roman"/>
          <w:i/>
          <w:lang w:val="en-US"/>
        </w:rPr>
        <w:t xml:space="preserve">1 bit LTE CRS port indication field can be re-used for stand-alone mode for forward compatibility. </w:t>
      </w:r>
    </w:p>
    <w:p w14:paraId="4960A8ED" w14:textId="77777777" w:rsidR="00E36E54" w:rsidRDefault="00E36E54" w:rsidP="00E36E54">
      <w:pPr>
        <w:rPr>
          <w:rFonts w:ascii="Times New Roman" w:hAnsi="Times New Roman"/>
          <w:i/>
          <w:color w:val="000000" w:themeColor="text1"/>
          <w:lang w:val="en-US"/>
        </w:rPr>
      </w:pPr>
      <w:r w:rsidRPr="008A4DE6">
        <w:rPr>
          <w:rFonts w:ascii="Times New Roman" w:hAnsi="Times New Roman"/>
          <w:b/>
          <w:i/>
          <w:color w:val="000000" w:themeColor="text1"/>
          <w:lang w:val="en-US"/>
        </w:rPr>
        <w:t xml:space="preserve">Observation 1: </w:t>
      </w:r>
      <w:r>
        <w:rPr>
          <w:rFonts w:ascii="Times New Roman" w:hAnsi="Times New Roman"/>
          <w:i/>
          <w:color w:val="000000" w:themeColor="text1"/>
          <w:lang w:val="en-US"/>
        </w:rPr>
        <w:t xml:space="preserve">Two versions of MIB contents can be defined, one for in-band and guard-band, one for stand-alone operation. </w:t>
      </w:r>
    </w:p>
    <w:p w14:paraId="04891445" w14:textId="77777777" w:rsidR="00E36E54" w:rsidRPr="008C3515" w:rsidRDefault="00E36E54" w:rsidP="00E36E54">
      <w:pPr>
        <w:rPr>
          <w:noProof/>
          <w:color w:val="000000" w:themeColor="text1"/>
          <w:lang w:val="en-US"/>
        </w:rPr>
      </w:pPr>
      <w:r w:rsidRPr="009D5065">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2</w:t>
      </w:r>
      <w:r w:rsidRPr="009D5065">
        <w:rPr>
          <w:rFonts w:ascii="Times New Roman" w:hAnsi="Times New Roman"/>
          <w:b/>
          <w:i/>
          <w:noProof/>
          <w:color w:val="000000" w:themeColor="text1"/>
          <w:lang w:val="en-US"/>
        </w:rPr>
        <w:t>:</w:t>
      </w:r>
      <w:r w:rsidRPr="009D5065">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If necessary, partial or entire HyperSFN can be placed in NB-MIB based on input from RAN2. </w:t>
      </w:r>
    </w:p>
    <w:p w14:paraId="5054C266" w14:textId="77777777" w:rsidR="00E36E54" w:rsidRPr="00585DB5" w:rsidRDefault="00E36E54" w:rsidP="00E36E54">
      <w:pPr>
        <w:rPr>
          <w:lang w:val="en-US"/>
        </w:rPr>
      </w:pPr>
      <w:r w:rsidRPr="009D5065">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3</w:t>
      </w:r>
      <w:r w:rsidRPr="009D5065">
        <w:rPr>
          <w:rFonts w:ascii="Times New Roman" w:hAnsi="Times New Roman"/>
          <w:b/>
          <w:i/>
          <w:noProof/>
          <w:color w:val="000000" w:themeColor="text1"/>
          <w:lang w:val="en-US"/>
        </w:rPr>
        <w:t>:</w:t>
      </w:r>
      <w:r w:rsidRPr="009D5065">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It is not necessary to signalled the sign of the channel raster offset as it can be derived from </w:t>
      </w:r>
      <w:r w:rsidRPr="00AA57AD">
        <w:rPr>
          <w:position w:val="-10"/>
        </w:rPr>
        <w:object w:dxaOrig="460" w:dyaOrig="360" w14:anchorId="48F73FBB">
          <v:shape id="_x0000_i1057" type="#_x0000_t75" style="width:23.15pt;height:18.15pt" o:ole="">
            <v:imagedata r:id="rId48" o:title=""/>
          </v:shape>
          <o:OLEObject Type="Embed" ProgID="Equation.3" ShapeID="_x0000_i1057" DrawAspect="Content" ObjectID="_1519658702" r:id="rId66"/>
        </w:object>
      </w:r>
      <w:r>
        <w:t>.</w:t>
      </w:r>
    </w:p>
    <w:p w14:paraId="60B42874" w14:textId="77777777" w:rsidR="00E36E54" w:rsidRPr="00A52FF9" w:rsidRDefault="00E36E54" w:rsidP="00E36E54">
      <w:pPr>
        <w:jc w:val="left"/>
        <w:rPr>
          <w:rFonts w:ascii="Times New Roman" w:hAnsi="Times New Roman"/>
          <w:i/>
          <w:noProof/>
          <w:color w:val="000000" w:themeColor="text1"/>
          <w:lang w:val="en-US"/>
        </w:rPr>
      </w:pPr>
      <w:r w:rsidRPr="00A52FF9">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4</w:t>
      </w:r>
      <w:r w:rsidRPr="00A52FF9">
        <w:rPr>
          <w:rFonts w:ascii="Times New Roman" w:hAnsi="Times New Roman"/>
          <w:i/>
          <w:noProof/>
          <w:color w:val="000000" w:themeColor="text1"/>
          <w:lang w:val="en-US"/>
        </w:rPr>
        <w:t>: The LTE system bandwidth does not need to be signalled.</w:t>
      </w:r>
    </w:p>
    <w:p w14:paraId="3AB3C0E7" w14:textId="77777777" w:rsidR="00E36E54" w:rsidRDefault="00E36E54" w:rsidP="00E36E54">
      <w:pPr>
        <w:jc w:val="left"/>
        <w:rPr>
          <w:rFonts w:ascii="Times New Roman" w:hAnsi="Times New Roman"/>
          <w:i/>
          <w:noProof/>
          <w:color w:val="000000" w:themeColor="text1"/>
          <w:lang w:val="en-US"/>
        </w:rPr>
      </w:pPr>
      <w:r w:rsidRPr="00A327D0">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5</w:t>
      </w:r>
      <w:r w:rsidRPr="00A327D0">
        <w:rPr>
          <w:rFonts w:ascii="Times New Roman" w:hAnsi="Times New Roman"/>
          <w:b/>
          <w:i/>
          <w:noProof/>
          <w:color w:val="000000" w:themeColor="text1"/>
          <w:lang w:val="en-US"/>
        </w:rPr>
        <w:t>:</w:t>
      </w:r>
      <w:r>
        <w:rPr>
          <w:rFonts w:ascii="Times New Roman" w:hAnsi="Times New Roman"/>
          <w:b/>
          <w:i/>
          <w:noProof/>
          <w:color w:val="000000" w:themeColor="text1"/>
          <w:lang w:val="en-US"/>
        </w:rPr>
        <w:t xml:space="preserve"> </w:t>
      </w:r>
      <w:r w:rsidRPr="00A327D0">
        <w:rPr>
          <w:rFonts w:ascii="Times New Roman" w:hAnsi="Times New Roman"/>
          <w:i/>
          <w:noProof/>
          <w:color w:val="000000" w:themeColor="text1"/>
          <w:lang w:val="en-US"/>
        </w:rPr>
        <w:t xml:space="preserve">If </w:t>
      </w:r>
      <w:r>
        <w:rPr>
          <w:rFonts w:ascii="Times New Roman" w:hAnsi="Times New Roman"/>
          <w:i/>
          <w:noProof/>
          <w:color w:val="000000" w:themeColor="text1"/>
          <w:lang w:val="en-US"/>
        </w:rPr>
        <w:t xml:space="preserve">only the LTE CRS infomation is needed, 5 bits are necessary to indicate the offset from middle PRB of the </w:t>
      </w:r>
      <w:r w:rsidRPr="00EA2D7D">
        <w:rPr>
          <w:rFonts w:ascii="Times New Roman" w:hAnsi="Times New Roman"/>
          <w:i/>
          <w:noProof/>
          <w:color w:val="000000" w:themeColor="text1"/>
          <w:lang w:val="en-US"/>
        </w:rPr>
        <w:t xml:space="preserve">the LTE </w:t>
      </w:r>
      <w:r>
        <w:rPr>
          <w:rFonts w:ascii="Times New Roman" w:hAnsi="Times New Roman"/>
          <w:i/>
          <w:noProof/>
          <w:color w:val="000000" w:themeColor="text1"/>
          <w:lang w:val="en-US"/>
        </w:rPr>
        <w:t xml:space="preserve">system to the NB-IoT anchor PRB. </w:t>
      </w:r>
    </w:p>
    <w:p w14:paraId="1CFC3FDA" w14:textId="77777777" w:rsidR="00E36E54" w:rsidRPr="007B202D" w:rsidRDefault="00E36E54" w:rsidP="00E36E54">
      <w:pPr>
        <w:rPr>
          <w:rFonts w:ascii="Times New Roman" w:hAnsi="Times New Roman"/>
          <w:i/>
          <w:noProof/>
          <w:color w:val="000000" w:themeColor="text1"/>
          <w:lang w:val="en-US"/>
        </w:rPr>
      </w:pPr>
      <w:r w:rsidRPr="007B202D">
        <w:rPr>
          <w:rFonts w:ascii="Times New Roman" w:hAnsi="Times New Roman"/>
          <w:b/>
          <w:i/>
          <w:noProof/>
          <w:color w:val="000000" w:themeColor="text1"/>
          <w:lang w:val="en-US"/>
        </w:rPr>
        <w:t xml:space="preserve">Observation </w:t>
      </w:r>
      <w:r>
        <w:rPr>
          <w:rFonts w:ascii="Times New Roman" w:hAnsi="Times New Roman"/>
          <w:b/>
          <w:i/>
          <w:noProof/>
          <w:color w:val="000000" w:themeColor="text1"/>
          <w:lang w:val="en-US"/>
        </w:rPr>
        <w:t>6</w:t>
      </w:r>
      <w:r w:rsidRPr="007B202D">
        <w:rPr>
          <w:rFonts w:ascii="Times New Roman" w:hAnsi="Times New Roman"/>
          <w:b/>
          <w:i/>
          <w:noProof/>
          <w:color w:val="000000" w:themeColor="text1"/>
          <w:lang w:val="en-US"/>
        </w:rPr>
        <w:t>:</w:t>
      </w:r>
      <w:r w:rsidRPr="007B202D">
        <w:rPr>
          <w:rFonts w:ascii="Times New Roman" w:hAnsi="Times New Roman"/>
          <w:i/>
          <w:noProof/>
          <w:color w:val="000000" w:themeColor="text1"/>
          <w:lang w:val="en-US"/>
        </w:rPr>
        <w:t xml:space="preserve"> </w:t>
      </w:r>
      <w:r>
        <w:rPr>
          <w:rFonts w:ascii="Times New Roman" w:hAnsi="Times New Roman"/>
          <w:i/>
          <w:noProof/>
          <w:color w:val="000000" w:themeColor="text1"/>
          <w:lang w:val="en-US"/>
        </w:rPr>
        <w:t xml:space="preserve">Some of the indexing values given by the 5 bits can be used to indicate the </w:t>
      </w:r>
      <w:r w:rsidRPr="00585DB5">
        <w:rPr>
          <w:rFonts w:ascii="Times New Roman" w:hAnsi="Times New Roman"/>
          <w:i/>
          <w:noProof/>
          <w:color w:val="000000" w:themeColor="text1"/>
          <w:lang w:val="en-US"/>
        </w:rPr>
        <w:t>guard-band operation including t</w:t>
      </w:r>
      <w:r>
        <w:rPr>
          <w:rFonts w:ascii="Times New Roman" w:hAnsi="Times New Roman"/>
          <w:i/>
          <w:noProof/>
          <w:color w:val="000000" w:themeColor="text1"/>
          <w:lang w:val="en-US"/>
        </w:rPr>
        <w:t>he corresponding raster offset.</w:t>
      </w:r>
    </w:p>
    <w:p w14:paraId="6EF0562A" w14:textId="77777777" w:rsidR="00E36E54" w:rsidRPr="007D6740" w:rsidRDefault="00E36E54" w:rsidP="00E36E54">
      <w:pPr>
        <w:rPr>
          <w:rFonts w:ascii="Times New Roman" w:hAnsi="Times New Roman"/>
          <w:i/>
          <w:lang w:val="en-US"/>
        </w:rPr>
      </w:pPr>
      <w:r w:rsidRPr="007D6740">
        <w:rPr>
          <w:rFonts w:ascii="Times New Roman" w:hAnsi="Times New Roman"/>
          <w:b/>
          <w:i/>
          <w:lang w:val="en-US"/>
        </w:rPr>
        <w:t xml:space="preserve">Observation </w:t>
      </w:r>
      <w:r>
        <w:rPr>
          <w:rFonts w:ascii="Times New Roman" w:hAnsi="Times New Roman"/>
          <w:b/>
          <w:i/>
          <w:lang w:val="en-US"/>
        </w:rPr>
        <w:t>7</w:t>
      </w:r>
      <w:r w:rsidRPr="007D6740">
        <w:rPr>
          <w:rFonts w:ascii="Times New Roman" w:hAnsi="Times New Roman"/>
          <w:b/>
          <w:i/>
          <w:lang w:val="en-US"/>
        </w:rPr>
        <w:t>:</w:t>
      </w:r>
      <w:r w:rsidRPr="007D6740">
        <w:rPr>
          <w:rFonts w:ascii="Times New Roman" w:hAnsi="Times New Roman"/>
          <w:i/>
          <w:lang w:val="en-US"/>
        </w:rPr>
        <w:t xml:space="preserve"> </w:t>
      </w:r>
      <w:r>
        <w:rPr>
          <w:rFonts w:ascii="Times New Roman" w:hAnsi="Times New Roman"/>
          <w:i/>
          <w:lang w:val="en-US"/>
        </w:rPr>
        <w:t xml:space="preserve">OFDM symbol repetitions within a </w:t>
      </w:r>
      <w:proofErr w:type="spellStart"/>
      <w:r>
        <w:rPr>
          <w:rFonts w:ascii="Times New Roman" w:hAnsi="Times New Roman"/>
          <w:i/>
          <w:lang w:val="en-US"/>
        </w:rPr>
        <w:t>subframe</w:t>
      </w:r>
      <w:proofErr w:type="spellEnd"/>
      <w:r>
        <w:rPr>
          <w:rFonts w:ascii="Times New Roman" w:hAnsi="Times New Roman"/>
          <w:i/>
          <w:lang w:val="en-US"/>
        </w:rPr>
        <w:t xml:space="preserve"> of NPBCH can be considered to offer better frequency tracking for NPBCH decoding. </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41423D7C" w14:textId="528D849F" w:rsidR="009576D3" w:rsidRDefault="009576D3" w:rsidP="009576D3">
      <w:pPr>
        <w:pStyle w:val="Reference"/>
        <w:numPr>
          <w:ilvl w:val="0"/>
          <w:numId w:val="2"/>
        </w:numPr>
        <w:overflowPunct/>
        <w:autoSpaceDE/>
        <w:autoSpaceDN/>
        <w:adjustRightInd/>
        <w:spacing w:after="200" w:line="276" w:lineRule="auto"/>
        <w:jc w:val="left"/>
        <w:textAlignment w:val="auto"/>
      </w:pPr>
      <w:bookmarkStart w:id="5" w:name="_Ref436223503"/>
      <w:bookmarkStart w:id="6" w:name="_Ref430944728"/>
      <w:r>
        <w:t>RP-152284, “New Work Item: Narrowband IoT (NB-IoT),” sources Huawei and HiSilicon, RAN #70.</w:t>
      </w:r>
      <w:bookmarkEnd w:id="5"/>
    </w:p>
    <w:bookmarkEnd w:id="6"/>
    <w:p w14:paraId="31842770" w14:textId="77777777" w:rsidR="00F02927" w:rsidRPr="006F33CC" w:rsidRDefault="00F02927" w:rsidP="00F02927">
      <w:pPr>
        <w:pStyle w:val="Reference"/>
        <w:numPr>
          <w:ilvl w:val="0"/>
          <w:numId w:val="2"/>
        </w:numPr>
        <w:overflowPunct/>
        <w:autoSpaceDE/>
        <w:autoSpaceDN/>
        <w:adjustRightInd/>
        <w:spacing w:after="200" w:line="276" w:lineRule="auto"/>
        <w:jc w:val="left"/>
        <w:textAlignment w:val="auto"/>
      </w:pPr>
      <w:r w:rsidRPr="00F02927">
        <w:t>R1-161548</w:t>
      </w:r>
      <w:r>
        <w:t>, “</w:t>
      </w:r>
      <w:r w:rsidRPr="00F02927">
        <w:t>RAN1 agreements for Rel-13 NB-IoT</w:t>
      </w:r>
      <w:r>
        <w:t xml:space="preserve">”, source </w:t>
      </w:r>
      <w:r w:rsidRPr="00F02927">
        <w:t>WI rapporteur (Ericsson)</w:t>
      </w:r>
      <w:r>
        <w:t xml:space="preserve">, </w:t>
      </w:r>
      <w:r w:rsidRPr="00A327D0">
        <w:rPr>
          <w:lang w:val="en-US"/>
        </w:rPr>
        <w:t>RAN1 #84, 15 - 19 Feb 2016, Malta.</w:t>
      </w:r>
    </w:p>
    <w:p w14:paraId="003F46B7" w14:textId="77777777" w:rsidR="006F33CC" w:rsidRPr="00592A6C" w:rsidRDefault="006F33CC" w:rsidP="006F33CC">
      <w:pPr>
        <w:pStyle w:val="Reference"/>
        <w:numPr>
          <w:ilvl w:val="0"/>
          <w:numId w:val="2"/>
        </w:numPr>
        <w:overflowPunct/>
        <w:autoSpaceDE/>
        <w:autoSpaceDN/>
        <w:adjustRightInd/>
        <w:spacing w:after="200" w:line="276" w:lineRule="auto"/>
        <w:jc w:val="left"/>
        <w:textAlignment w:val="auto"/>
      </w:pPr>
      <w:bookmarkStart w:id="7" w:name="_Ref445649154"/>
      <w:r w:rsidRPr="006F33CC">
        <w:t>R1-160918</w:t>
      </w:r>
      <w:r>
        <w:t>, “</w:t>
      </w:r>
      <w:r w:rsidRPr="006F33CC">
        <w:t>MIB Contents for NB-</w:t>
      </w:r>
      <w:proofErr w:type="spellStart"/>
      <w:r w:rsidRPr="006F33CC">
        <w:t>IoT</w:t>
      </w:r>
      <w:proofErr w:type="spellEnd"/>
      <w:r>
        <w:t xml:space="preserve">”, source </w:t>
      </w:r>
      <w:proofErr w:type="spellStart"/>
      <w:r w:rsidRPr="006F33CC">
        <w:t>InterDigital</w:t>
      </w:r>
      <w:proofErr w:type="spellEnd"/>
      <w:r>
        <w:t xml:space="preserve">, </w:t>
      </w:r>
      <w:r w:rsidRPr="00A327D0">
        <w:rPr>
          <w:lang w:val="en-US"/>
        </w:rPr>
        <w:t>RAN1 #84, 15 - 19 Feb 2016, Malta.</w:t>
      </w:r>
      <w:bookmarkEnd w:id="7"/>
    </w:p>
    <w:p w14:paraId="3B3F5179" w14:textId="730A7861" w:rsidR="00592A6C" w:rsidRPr="006F33CC" w:rsidRDefault="00592A6C" w:rsidP="006F33CC">
      <w:pPr>
        <w:pStyle w:val="Reference"/>
        <w:numPr>
          <w:ilvl w:val="0"/>
          <w:numId w:val="2"/>
        </w:numPr>
        <w:overflowPunct/>
        <w:autoSpaceDE/>
        <w:autoSpaceDN/>
        <w:adjustRightInd/>
        <w:spacing w:after="200" w:line="276" w:lineRule="auto"/>
        <w:jc w:val="left"/>
        <w:textAlignment w:val="auto"/>
      </w:pPr>
      <w:bookmarkStart w:id="8" w:name="_Ref445727339"/>
      <w:r>
        <w:t>3GPP TS 36.211.</w:t>
      </w:r>
      <w:bookmarkEnd w:id="8"/>
      <w:r>
        <w:t xml:space="preserve"> </w:t>
      </w:r>
    </w:p>
    <w:p w14:paraId="0840774A" w14:textId="621B3F3B" w:rsidR="006F33CC" w:rsidRDefault="009A1AAF" w:rsidP="009A1AAF">
      <w:pPr>
        <w:pStyle w:val="Heading1"/>
      </w:pPr>
      <w:r>
        <w:lastRenderedPageBreak/>
        <w:t>Appendix</w:t>
      </w:r>
    </w:p>
    <w:p w14:paraId="5238A4E8" w14:textId="6056E143" w:rsidR="009A1AAF" w:rsidRDefault="009A1AAF" w:rsidP="009A1AAF">
      <w:r>
        <w:t>In this example, we use 10 MHz LTE system as an example to illustrate the proposed indexing method. The legacy LTE PRB indexing is from 0 to 49, and the indexing is from low frequency to high frequency. We choose PR</w:t>
      </w:r>
      <w:r w:rsidR="00B572B7">
        <w:t>B 35</w:t>
      </w:r>
      <w:r>
        <w:t xml:space="preserve">, which is one of the possible anchor positions of deploying NB-IoT carrier. </w:t>
      </w:r>
    </w:p>
    <w:p w14:paraId="723B9B07" w14:textId="31F685D9" w:rsidR="009A1AAF" w:rsidRDefault="009A1AAF" w:rsidP="009A1AAF">
      <w:r>
        <w:t xml:space="preserve">For PRB 35, following </w:t>
      </w:r>
      <w:r>
        <w:fldChar w:fldCharType="begin"/>
      </w:r>
      <w:r>
        <w:instrText xml:space="preserve"> REF _Ref445727339 \n \h </w:instrText>
      </w:r>
      <w:r>
        <w:fldChar w:fldCharType="separate"/>
      </w:r>
      <w:r w:rsidR="00002708">
        <w:t>[4]</w:t>
      </w:r>
      <w:r>
        <w:fldChar w:fldCharType="end"/>
      </w:r>
      <w:r>
        <w:t>, we have</w:t>
      </w:r>
    </w:p>
    <w:p w14:paraId="6FB58B6B" w14:textId="33EA8BCB" w:rsidR="009A1AAF" w:rsidRDefault="009A1AAF" w:rsidP="009A1AAF">
      <w:pPr>
        <w:jc w:val="center"/>
      </w:pPr>
      <w:r w:rsidRPr="009A1AAF">
        <w:rPr>
          <w:position w:val="-10"/>
        </w:rPr>
        <w:object w:dxaOrig="2500" w:dyaOrig="340" w14:anchorId="22B27977">
          <v:shape id="_x0000_i1058" type="#_x0000_t75" style="width:125.2pt;height:16.9pt" o:ole="">
            <v:imagedata r:id="rId67" o:title=""/>
          </v:shape>
          <o:OLEObject Type="Embed" ProgID="Equation.3" ShapeID="_x0000_i1058" DrawAspect="Content" ObjectID="_1519658703" r:id="rId68"/>
        </w:object>
      </w:r>
    </w:p>
    <w:p w14:paraId="3D8B0B1D" w14:textId="13A99C90" w:rsidR="00F02927" w:rsidRDefault="00E674FE" w:rsidP="00E674FE">
      <w:pPr>
        <w:pStyle w:val="Reference"/>
        <w:numPr>
          <w:ilvl w:val="0"/>
          <w:numId w:val="0"/>
        </w:numPr>
        <w:overflowPunct/>
        <w:autoSpaceDE/>
        <w:autoSpaceDN/>
        <w:adjustRightInd/>
        <w:spacing w:after="200" w:line="276" w:lineRule="auto"/>
        <w:ind w:left="567" w:hanging="567"/>
        <w:jc w:val="left"/>
        <w:textAlignment w:val="auto"/>
      </w:pPr>
      <w:r>
        <w:t xml:space="preserve">Then we have </w:t>
      </w:r>
    </w:p>
    <w:p w14:paraId="693AE680" w14:textId="2B321685" w:rsidR="00E674FE" w:rsidRDefault="00E674FE" w:rsidP="00E674FE">
      <w:pPr>
        <w:pStyle w:val="Reference"/>
        <w:numPr>
          <w:ilvl w:val="0"/>
          <w:numId w:val="0"/>
        </w:numPr>
        <w:overflowPunct/>
        <w:autoSpaceDE/>
        <w:autoSpaceDN/>
        <w:adjustRightInd/>
        <w:spacing w:after="200" w:line="276" w:lineRule="auto"/>
        <w:ind w:left="567" w:hanging="567"/>
        <w:jc w:val="center"/>
        <w:textAlignment w:val="auto"/>
      </w:pPr>
      <w:r w:rsidRPr="00E674FE">
        <w:rPr>
          <w:position w:val="-10"/>
        </w:rPr>
        <w:object w:dxaOrig="5160" w:dyaOrig="360" w14:anchorId="6CE7EE8A">
          <v:shape id="_x0000_i1059" type="#_x0000_t75" style="width:257.95pt;height:18.15pt" o:ole="">
            <v:imagedata r:id="rId69" o:title=""/>
          </v:shape>
          <o:OLEObject Type="Embed" ProgID="Equation.3" ShapeID="_x0000_i1059" DrawAspect="Content" ObjectID="_1519658704" r:id="rId70"/>
        </w:object>
      </w:r>
      <w:r>
        <w:t>.</w:t>
      </w:r>
    </w:p>
    <w:p w14:paraId="0EBAB157" w14:textId="69D19D5D" w:rsidR="00E674FE" w:rsidRDefault="00E674FE" w:rsidP="00E674FE">
      <w:pPr>
        <w:pStyle w:val="Reference"/>
        <w:numPr>
          <w:ilvl w:val="0"/>
          <w:numId w:val="0"/>
        </w:numPr>
        <w:overflowPunct/>
        <w:autoSpaceDE/>
        <w:autoSpaceDN/>
        <w:adjustRightInd/>
        <w:spacing w:after="200" w:line="276" w:lineRule="auto"/>
        <w:ind w:left="567" w:hanging="567"/>
        <w:jc w:val="left"/>
        <w:textAlignment w:val="auto"/>
      </w:pPr>
      <w:r>
        <w:t xml:space="preserve">The new indexing maps PRB 35 to the following offset from the LTE middle PRB as </w:t>
      </w:r>
    </w:p>
    <w:p w14:paraId="50C500D8" w14:textId="1031D5F5" w:rsidR="00E674FE" w:rsidRDefault="00E674FE" w:rsidP="00E674FE">
      <w:pPr>
        <w:pStyle w:val="Reference"/>
        <w:numPr>
          <w:ilvl w:val="0"/>
          <w:numId w:val="0"/>
        </w:numPr>
        <w:overflowPunct/>
        <w:autoSpaceDE/>
        <w:autoSpaceDN/>
        <w:adjustRightInd/>
        <w:spacing w:after="200" w:line="276" w:lineRule="auto"/>
        <w:ind w:left="567" w:hanging="567"/>
        <w:jc w:val="center"/>
        <w:textAlignment w:val="auto"/>
      </w:pPr>
      <w:r w:rsidRPr="00247C85">
        <w:rPr>
          <w:position w:val="-10"/>
        </w:rPr>
        <w:object w:dxaOrig="6220" w:dyaOrig="360" w14:anchorId="30BE50E3">
          <v:shape id="_x0000_i1060" type="#_x0000_t75" style="width:311.15pt;height:18.15pt" o:ole="">
            <v:imagedata r:id="rId71" o:title=""/>
          </v:shape>
          <o:OLEObject Type="Embed" ProgID="Equation.3" ShapeID="_x0000_i1060" DrawAspect="Content" ObjectID="_1519658705" r:id="rId72"/>
        </w:object>
      </w:r>
    </w:p>
    <w:p w14:paraId="0780BBAB" w14:textId="1BB1B730" w:rsidR="00E674FE" w:rsidRDefault="00E674FE" w:rsidP="00E674FE">
      <w:pPr>
        <w:pStyle w:val="Reference"/>
        <w:numPr>
          <w:ilvl w:val="0"/>
          <w:numId w:val="0"/>
        </w:numPr>
        <w:overflowPunct/>
        <w:autoSpaceDE/>
        <w:autoSpaceDN/>
        <w:adjustRightInd/>
        <w:spacing w:after="200" w:line="276" w:lineRule="auto"/>
        <w:ind w:left="567" w:hanging="567"/>
        <w:jc w:val="left"/>
        <w:textAlignment w:val="auto"/>
      </w:pPr>
      <w:r>
        <w:t xml:space="preserve">Therefore, </w:t>
      </w:r>
    </w:p>
    <w:p w14:paraId="598ADBA8" w14:textId="041D2CCD" w:rsidR="00E674FE" w:rsidRDefault="004E10A8" w:rsidP="00E674FE">
      <w:pPr>
        <w:pStyle w:val="Reference"/>
        <w:numPr>
          <w:ilvl w:val="0"/>
          <w:numId w:val="0"/>
        </w:numPr>
        <w:overflowPunct/>
        <w:autoSpaceDE/>
        <w:autoSpaceDN/>
        <w:adjustRightInd/>
        <w:spacing w:after="200" w:line="276" w:lineRule="auto"/>
        <w:ind w:left="567" w:hanging="567"/>
        <w:jc w:val="left"/>
        <w:textAlignment w:val="auto"/>
      </w:pPr>
      <w:r w:rsidRPr="00AA57AD">
        <w:rPr>
          <w:position w:val="-10"/>
        </w:rPr>
        <w:object w:dxaOrig="7080" w:dyaOrig="480" w14:anchorId="4851C5C7">
          <v:shape id="_x0000_i1061" type="#_x0000_t75" style="width:353.75pt;height:24.4pt" o:ole="">
            <v:imagedata r:id="rId73" o:title=""/>
          </v:shape>
          <o:OLEObject Type="Embed" ProgID="Equation.3" ShapeID="_x0000_i1061" DrawAspect="Content" ObjectID="_1519658706" r:id="rId74"/>
        </w:object>
      </w:r>
    </w:p>
    <w:p w14:paraId="6E4C6F37" w14:textId="08174AAE" w:rsidR="00E674FE" w:rsidRDefault="00E674FE" w:rsidP="00E674FE">
      <w:pPr>
        <w:pStyle w:val="Reference"/>
        <w:numPr>
          <w:ilvl w:val="0"/>
          <w:numId w:val="0"/>
        </w:numPr>
        <w:overflowPunct/>
        <w:autoSpaceDE/>
        <w:autoSpaceDN/>
        <w:adjustRightInd/>
        <w:spacing w:after="200" w:line="276" w:lineRule="auto"/>
        <w:ind w:left="567" w:hanging="567"/>
        <w:jc w:val="left"/>
        <w:textAlignment w:val="auto"/>
        <w:rPr>
          <w:sz w:val="18"/>
        </w:rPr>
      </w:pPr>
      <w:r>
        <w:rPr>
          <w:noProof/>
          <w:sz w:val="18"/>
          <w:lang w:val="en-US" w:eastAsia="en-US"/>
        </w:rPr>
        <mc:AlternateContent>
          <mc:Choice Requires="wps">
            <w:drawing>
              <wp:anchor distT="0" distB="0" distL="114300" distR="114300" simplePos="0" relativeHeight="251661312" behindDoc="0" locked="0" layoutInCell="1" allowOverlap="1" wp14:anchorId="0098B14F" wp14:editId="62B4C1B2">
                <wp:simplePos x="0" y="0"/>
                <wp:positionH relativeFrom="column">
                  <wp:posOffset>2521889</wp:posOffset>
                </wp:positionH>
                <wp:positionV relativeFrom="paragraph">
                  <wp:posOffset>1905</wp:posOffset>
                </wp:positionV>
                <wp:extent cx="184245" cy="218365"/>
                <wp:effectExtent l="0" t="0" r="25400" b="29845"/>
                <wp:wrapNone/>
                <wp:docPr id="3" name="Straight Connector 3"/>
                <wp:cNvGraphicFramePr/>
                <a:graphic xmlns:a="http://schemas.openxmlformats.org/drawingml/2006/main">
                  <a:graphicData uri="http://schemas.microsoft.com/office/word/2010/wordprocessingShape">
                    <wps:wsp>
                      <wps:cNvCnPr/>
                      <wps:spPr>
                        <a:xfrm>
                          <a:off x="0" y="0"/>
                          <a:ext cx="184245" cy="218365"/>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8.55pt,.15pt" to="213.0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" strokecolor="#bc4542 [3045]" strokeweight="1.5pt"/>
            </w:pict>
          </mc:Fallback>
        </mc:AlternateContent>
      </w:r>
      <w:r>
        <w:rPr>
          <w:noProof/>
          <w:sz w:val="18"/>
          <w:lang w:val="en-US" w:eastAsia="en-US"/>
        </w:rPr>
        <mc:AlternateContent>
          <mc:Choice Requires="wps">
            <w:drawing>
              <wp:anchor distT="0" distB="0" distL="114300" distR="114300" simplePos="0" relativeHeight="251659264" behindDoc="0" locked="0" layoutInCell="1" allowOverlap="1" wp14:anchorId="02CD04D9" wp14:editId="58EF32E7">
                <wp:simplePos x="0" y="0"/>
                <wp:positionH relativeFrom="column">
                  <wp:posOffset>601203</wp:posOffset>
                </wp:positionH>
                <wp:positionV relativeFrom="paragraph">
                  <wp:posOffset>-171</wp:posOffset>
                </wp:positionV>
                <wp:extent cx="184245" cy="218365"/>
                <wp:effectExtent l="0" t="0" r="25400" b="29845"/>
                <wp:wrapNone/>
                <wp:docPr id="2" name="Straight Connector 2"/>
                <wp:cNvGraphicFramePr/>
                <a:graphic xmlns:a="http://schemas.openxmlformats.org/drawingml/2006/main">
                  <a:graphicData uri="http://schemas.microsoft.com/office/word/2010/wordprocessingShape">
                    <wps:wsp>
                      <wps:cNvCnPr/>
                      <wps:spPr>
                        <a:xfrm>
                          <a:off x="0" y="0"/>
                          <a:ext cx="184245" cy="218365"/>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35pt,0" to="61.8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" strokecolor="#bc4542 [3045]" strokeweight="1.5pt"/>
            </w:pict>
          </mc:Fallback>
        </mc:AlternateContent>
      </w:r>
      <w:r w:rsidR="004E10A8" w:rsidRPr="00E674FE">
        <w:rPr>
          <w:position w:val="-10"/>
          <w:sz w:val="18"/>
        </w:rPr>
        <w:object w:dxaOrig="5460" w:dyaOrig="360" w14:anchorId="05537A69">
          <v:shape id="_x0000_i1062" type="#_x0000_t75" style="width:272.95pt;height:18.15pt" o:ole="">
            <v:imagedata r:id="rId75" o:title=""/>
          </v:shape>
          <o:OLEObject Type="Embed" ProgID="Equation.3" ShapeID="_x0000_i1062" DrawAspect="Content" ObjectID="_1519658707" r:id="rId76"/>
        </w:object>
      </w:r>
    </w:p>
    <w:p w14:paraId="296F8A45" w14:textId="486E1080" w:rsidR="00E674FE" w:rsidRPr="004B7027" w:rsidRDefault="00E674FE" w:rsidP="004467D3">
      <w:pPr>
        <w:pStyle w:val="Reference"/>
        <w:numPr>
          <w:ilvl w:val="0"/>
          <w:numId w:val="0"/>
        </w:numPr>
        <w:overflowPunct/>
        <w:autoSpaceDE/>
        <w:autoSpaceDN/>
        <w:adjustRightInd/>
        <w:spacing w:after="200" w:line="276" w:lineRule="auto"/>
        <w:jc w:val="left"/>
        <w:textAlignment w:val="auto"/>
      </w:pPr>
      <w:r w:rsidRPr="00E674FE">
        <w:t>As we can see,</w:t>
      </w:r>
      <w:r>
        <w:t xml:space="preserve"> with only indicating the offset, i.e., 10 PRBs from the middle, </w:t>
      </w:r>
      <w:r w:rsidRPr="00E674FE">
        <w:t xml:space="preserve">the same </w:t>
      </w:r>
      <w:r w:rsidRPr="00AA57AD">
        <w:rPr>
          <w:position w:val="-6"/>
        </w:rPr>
        <w:object w:dxaOrig="300" w:dyaOrig="279" w14:anchorId="726E7D26">
          <v:shape id="_x0000_i1063" type="#_x0000_t75" style="width:15.05pt;height:13.75pt" o:ole="">
            <v:imagedata r:id="rId77" o:title=""/>
          </v:shape>
          <o:OLEObject Type="Embed" ProgID="Equation.3" ShapeID="_x0000_i1063" DrawAspect="Content" ObjectID="_1519658708" r:id="rId78"/>
        </w:object>
      </w:r>
      <w:r>
        <w:t xml:space="preserve"> can be obtained without knowing the system bandwidth</w:t>
      </w:r>
      <w:r w:rsidRPr="00AA57AD">
        <w:rPr>
          <w:position w:val="-10"/>
        </w:rPr>
        <w:object w:dxaOrig="480" w:dyaOrig="360" w14:anchorId="42E1DA80">
          <v:shape id="_x0000_i1064" type="#_x0000_t75" style="width:24.4pt;height:18.15pt" o:ole="">
            <v:imagedata r:id="rId62" o:title=""/>
          </v:shape>
          <o:OLEObject Type="Embed" ProgID="Equation.3" ShapeID="_x0000_i1064" DrawAspect="Content" ObjectID="_1519658709" r:id="rId79"/>
        </w:object>
      </w:r>
      <w:r>
        <w:t>.</w:t>
      </w:r>
    </w:p>
    <w:sectPr w:rsidR="00E674FE" w:rsidRPr="004B7027" w:rsidSect="003B5666">
      <w:headerReference w:type="default" r:id="rId80"/>
      <w:footerReference w:type="default" r:id="rId81"/>
      <w:headerReference w:type="first" r:id="rId82"/>
      <w:footerReference w:type="first" r:id="rId8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17F09" w14:textId="77777777" w:rsidR="006A26B6" w:rsidRDefault="006A26B6">
      <w:pPr>
        <w:spacing w:after="0"/>
      </w:pPr>
      <w:r>
        <w:separator/>
      </w:r>
    </w:p>
  </w:endnote>
  <w:endnote w:type="continuationSeparator" w:id="0">
    <w:p w14:paraId="715590C1" w14:textId="77777777" w:rsidR="006A26B6" w:rsidRDefault="006A26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953776">
      <w:rPr>
        <w:rStyle w:val="PageNumber"/>
      </w:rPr>
      <w:t>6</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3776">
      <w:rPr>
        <w:rStyle w:val="PageNumber"/>
      </w:rPr>
      <w:t>6</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9537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3776">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EB939" w14:textId="77777777" w:rsidR="006A26B6" w:rsidRDefault="006A26B6">
      <w:pPr>
        <w:spacing w:after="0"/>
      </w:pPr>
      <w:r>
        <w:separator/>
      </w:r>
    </w:p>
  </w:footnote>
  <w:footnote w:type="continuationSeparator" w:id="0">
    <w:p w14:paraId="6350608D" w14:textId="77777777" w:rsidR="006A26B6" w:rsidRDefault="006A26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3520FDA"/>
    <w:multiLevelType w:val="hybridMultilevel"/>
    <w:tmpl w:val="BA5E248A"/>
    <w:lvl w:ilvl="0" w:tplc="F4F04D2A">
      <w:start w:val="3"/>
      <w:numFmt w:val="bullet"/>
      <w:lvlText w:val="•"/>
      <w:lvlJc w:val="left"/>
      <w:pPr>
        <w:ind w:left="2520" w:hanging="360"/>
      </w:pPr>
      <w:rPr>
        <w:rFonts w:ascii="Arial" w:eastAsia="Times New Roma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862CC8"/>
    <w:multiLevelType w:val="hybridMultilevel"/>
    <w:tmpl w:val="222E8DBA"/>
    <w:lvl w:ilvl="0" w:tplc="086A1034">
      <w:start w:val="3"/>
      <w:numFmt w:val="bullet"/>
      <w:lvlText w:val="•"/>
      <w:lvlJc w:val="left"/>
      <w:pPr>
        <w:ind w:left="2520" w:hanging="360"/>
      </w:pPr>
      <w:rPr>
        <w:rFonts w:ascii="Arial" w:eastAsia="Times New Roma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27">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15"/>
  </w:num>
  <w:num w:numId="4">
    <w:abstractNumId w:val="1"/>
  </w:num>
  <w:num w:numId="5">
    <w:abstractNumId w:val="29"/>
  </w:num>
  <w:num w:numId="6">
    <w:abstractNumId w:val="20"/>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6"/>
  </w:num>
  <w:num w:numId="20">
    <w:abstractNumId w:val="4"/>
  </w:num>
  <w:num w:numId="21">
    <w:abstractNumId w:val="21"/>
  </w:num>
  <w:num w:numId="22">
    <w:abstractNumId w:val="3"/>
  </w:num>
  <w:num w:numId="23">
    <w:abstractNumId w:val="28"/>
  </w:num>
  <w:num w:numId="24">
    <w:abstractNumId w:val="2"/>
  </w:num>
  <w:num w:numId="25">
    <w:abstractNumId w:val="17"/>
  </w:num>
  <w:num w:numId="26">
    <w:abstractNumId w:val="19"/>
  </w:num>
  <w:num w:numId="27">
    <w:abstractNumId w:val="5"/>
  </w:num>
  <w:num w:numId="28">
    <w:abstractNumId w:val="0"/>
  </w:num>
  <w:num w:numId="29">
    <w:abstractNumId w:val="18"/>
  </w:num>
  <w:num w:numId="30">
    <w:abstractNumId w:val="25"/>
  </w:num>
  <w:num w:numId="31">
    <w:abstractNumId w:val="23"/>
  </w:num>
  <w:num w:numId="32">
    <w:abstractNumId w:val="32"/>
  </w:num>
  <w:num w:numId="33">
    <w:abstractNumId w:val="8"/>
  </w:num>
  <w:num w:numId="34">
    <w:abstractNumId w:val="8"/>
  </w:num>
  <w:num w:numId="35">
    <w:abstractNumId w:val="8"/>
  </w:num>
  <w:num w:numId="36">
    <w:abstractNumId w:val="14"/>
  </w:num>
  <w:num w:numId="37">
    <w:abstractNumId w:val="31"/>
  </w:num>
  <w:num w:numId="38">
    <w:abstractNumId w:val="10"/>
  </w:num>
  <w:num w:numId="39">
    <w:abstractNumId w:val="24"/>
  </w:num>
  <w:num w:numId="40">
    <w:abstractNumId w:val="34"/>
  </w:num>
  <w:num w:numId="41">
    <w:abstractNumId w:val="13"/>
  </w:num>
  <w:num w:numId="42">
    <w:abstractNumId w:val="30"/>
  </w:num>
  <w:num w:numId="43">
    <w:abstractNumId w:val="27"/>
  </w:num>
  <w:num w:numId="44">
    <w:abstractNumId w:val="9"/>
  </w:num>
  <w:num w:numId="45">
    <w:abstractNumId w:val="26"/>
  </w:num>
  <w:num w:numId="46">
    <w:abstractNumId w:val="11"/>
  </w:num>
  <w:num w:numId="47">
    <w:abstractNumId w:val="3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0C85"/>
    <w:rsid w:val="00002708"/>
    <w:rsid w:val="0000470B"/>
    <w:rsid w:val="00004F8F"/>
    <w:rsid w:val="000051C9"/>
    <w:rsid w:val="00005C0F"/>
    <w:rsid w:val="00005D0A"/>
    <w:rsid w:val="000075E4"/>
    <w:rsid w:val="0001085D"/>
    <w:rsid w:val="00010AEE"/>
    <w:rsid w:val="00013F4F"/>
    <w:rsid w:val="00016F70"/>
    <w:rsid w:val="00017366"/>
    <w:rsid w:val="000237B9"/>
    <w:rsid w:val="0002572A"/>
    <w:rsid w:val="00027311"/>
    <w:rsid w:val="00027D60"/>
    <w:rsid w:val="00031103"/>
    <w:rsid w:val="0003339C"/>
    <w:rsid w:val="00035145"/>
    <w:rsid w:val="00035879"/>
    <w:rsid w:val="00036097"/>
    <w:rsid w:val="00036AAB"/>
    <w:rsid w:val="00042044"/>
    <w:rsid w:val="00042998"/>
    <w:rsid w:val="00042A4F"/>
    <w:rsid w:val="0004621B"/>
    <w:rsid w:val="0005061C"/>
    <w:rsid w:val="0005126B"/>
    <w:rsid w:val="000530D9"/>
    <w:rsid w:val="0005365D"/>
    <w:rsid w:val="0005434F"/>
    <w:rsid w:val="00055864"/>
    <w:rsid w:val="00055E6D"/>
    <w:rsid w:val="00055FB3"/>
    <w:rsid w:val="00057B28"/>
    <w:rsid w:val="00057D59"/>
    <w:rsid w:val="00060362"/>
    <w:rsid w:val="0006054A"/>
    <w:rsid w:val="00061919"/>
    <w:rsid w:val="0006596D"/>
    <w:rsid w:val="000668DB"/>
    <w:rsid w:val="00067182"/>
    <w:rsid w:val="0007045A"/>
    <w:rsid w:val="000721FC"/>
    <w:rsid w:val="00072382"/>
    <w:rsid w:val="00074D6C"/>
    <w:rsid w:val="00077C06"/>
    <w:rsid w:val="000803A9"/>
    <w:rsid w:val="00080800"/>
    <w:rsid w:val="00081CA2"/>
    <w:rsid w:val="000857F2"/>
    <w:rsid w:val="00087350"/>
    <w:rsid w:val="0008796B"/>
    <w:rsid w:val="00091A7F"/>
    <w:rsid w:val="00093C23"/>
    <w:rsid w:val="00093FC2"/>
    <w:rsid w:val="00096464"/>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42DB"/>
    <w:rsid w:val="000C7570"/>
    <w:rsid w:val="000C7F06"/>
    <w:rsid w:val="000D036A"/>
    <w:rsid w:val="000D221A"/>
    <w:rsid w:val="000D451A"/>
    <w:rsid w:val="000D4E16"/>
    <w:rsid w:val="000D5E53"/>
    <w:rsid w:val="000D6F2B"/>
    <w:rsid w:val="000E0248"/>
    <w:rsid w:val="000E114A"/>
    <w:rsid w:val="000E2D68"/>
    <w:rsid w:val="000E2DED"/>
    <w:rsid w:val="000E3586"/>
    <w:rsid w:val="000E4AB1"/>
    <w:rsid w:val="000E4E27"/>
    <w:rsid w:val="000E63C3"/>
    <w:rsid w:val="000E71AB"/>
    <w:rsid w:val="000E7C9C"/>
    <w:rsid w:val="000E7F68"/>
    <w:rsid w:val="000F0839"/>
    <w:rsid w:val="000F1847"/>
    <w:rsid w:val="000F22DE"/>
    <w:rsid w:val="000F2CDB"/>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45"/>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1C02"/>
    <w:rsid w:val="001926A7"/>
    <w:rsid w:val="00194281"/>
    <w:rsid w:val="00194A90"/>
    <w:rsid w:val="001A0E97"/>
    <w:rsid w:val="001A2154"/>
    <w:rsid w:val="001A3ADC"/>
    <w:rsid w:val="001A6C28"/>
    <w:rsid w:val="001B1584"/>
    <w:rsid w:val="001B3005"/>
    <w:rsid w:val="001B4CAE"/>
    <w:rsid w:val="001B5230"/>
    <w:rsid w:val="001B58B6"/>
    <w:rsid w:val="001C1F12"/>
    <w:rsid w:val="001C3F7C"/>
    <w:rsid w:val="001C6000"/>
    <w:rsid w:val="001C6D7D"/>
    <w:rsid w:val="001C7D09"/>
    <w:rsid w:val="001D06AC"/>
    <w:rsid w:val="001D07A5"/>
    <w:rsid w:val="001D443B"/>
    <w:rsid w:val="001E01A7"/>
    <w:rsid w:val="001E1C9C"/>
    <w:rsid w:val="001E213E"/>
    <w:rsid w:val="001E272E"/>
    <w:rsid w:val="001E3A1C"/>
    <w:rsid w:val="001E582A"/>
    <w:rsid w:val="001E7AF7"/>
    <w:rsid w:val="001F0CE9"/>
    <w:rsid w:val="001F3714"/>
    <w:rsid w:val="001F39B2"/>
    <w:rsid w:val="001F4253"/>
    <w:rsid w:val="001F5990"/>
    <w:rsid w:val="001F651E"/>
    <w:rsid w:val="001F6E69"/>
    <w:rsid w:val="002025E0"/>
    <w:rsid w:val="002042A7"/>
    <w:rsid w:val="0020459E"/>
    <w:rsid w:val="00206BFE"/>
    <w:rsid w:val="002116AB"/>
    <w:rsid w:val="00211935"/>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47C85"/>
    <w:rsid w:val="00250ECB"/>
    <w:rsid w:val="002531AA"/>
    <w:rsid w:val="002533A6"/>
    <w:rsid w:val="00253C39"/>
    <w:rsid w:val="00255DB5"/>
    <w:rsid w:val="00255DFB"/>
    <w:rsid w:val="00256811"/>
    <w:rsid w:val="002576F0"/>
    <w:rsid w:val="0026061E"/>
    <w:rsid w:val="00261AA4"/>
    <w:rsid w:val="00263036"/>
    <w:rsid w:val="00263976"/>
    <w:rsid w:val="00264921"/>
    <w:rsid w:val="00264BC8"/>
    <w:rsid w:val="00265439"/>
    <w:rsid w:val="00270264"/>
    <w:rsid w:val="0027285A"/>
    <w:rsid w:val="00273DC9"/>
    <w:rsid w:val="00283314"/>
    <w:rsid w:val="0028364F"/>
    <w:rsid w:val="00285772"/>
    <w:rsid w:val="00287364"/>
    <w:rsid w:val="00287D33"/>
    <w:rsid w:val="002905F8"/>
    <w:rsid w:val="00291AA4"/>
    <w:rsid w:val="00292A88"/>
    <w:rsid w:val="002951FC"/>
    <w:rsid w:val="002A24CF"/>
    <w:rsid w:val="002A5A3A"/>
    <w:rsid w:val="002A5DC6"/>
    <w:rsid w:val="002A7B93"/>
    <w:rsid w:val="002B07C7"/>
    <w:rsid w:val="002B0919"/>
    <w:rsid w:val="002B11BE"/>
    <w:rsid w:val="002B22BB"/>
    <w:rsid w:val="002B368A"/>
    <w:rsid w:val="002B4986"/>
    <w:rsid w:val="002B5026"/>
    <w:rsid w:val="002B783E"/>
    <w:rsid w:val="002C2D96"/>
    <w:rsid w:val="002C3811"/>
    <w:rsid w:val="002C39D5"/>
    <w:rsid w:val="002C60BF"/>
    <w:rsid w:val="002C6DB8"/>
    <w:rsid w:val="002D0DE7"/>
    <w:rsid w:val="002D14F3"/>
    <w:rsid w:val="002D224A"/>
    <w:rsid w:val="002D3252"/>
    <w:rsid w:val="002D43CF"/>
    <w:rsid w:val="002D4EAD"/>
    <w:rsid w:val="002D5B4C"/>
    <w:rsid w:val="002E04A3"/>
    <w:rsid w:val="002E1129"/>
    <w:rsid w:val="002E499D"/>
    <w:rsid w:val="002E6AA2"/>
    <w:rsid w:val="002F14AD"/>
    <w:rsid w:val="002F3FAE"/>
    <w:rsid w:val="002F4AD4"/>
    <w:rsid w:val="002F6BC2"/>
    <w:rsid w:val="002F756D"/>
    <w:rsid w:val="00300A0D"/>
    <w:rsid w:val="003013DF"/>
    <w:rsid w:val="00302852"/>
    <w:rsid w:val="00312CFF"/>
    <w:rsid w:val="003140E8"/>
    <w:rsid w:val="00314278"/>
    <w:rsid w:val="003150B0"/>
    <w:rsid w:val="00320D05"/>
    <w:rsid w:val="003211C9"/>
    <w:rsid w:val="00321FE9"/>
    <w:rsid w:val="00322939"/>
    <w:rsid w:val="00322C32"/>
    <w:rsid w:val="00322C8D"/>
    <w:rsid w:val="00322F8D"/>
    <w:rsid w:val="003230B3"/>
    <w:rsid w:val="00323F7A"/>
    <w:rsid w:val="00324758"/>
    <w:rsid w:val="00327656"/>
    <w:rsid w:val="003302BE"/>
    <w:rsid w:val="003305C3"/>
    <w:rsid w:val="00332C78"/>
    <w:rsid w:val="00335026"/>
    <w:rsid w:val="00336D04"/>
    <w:rsid w:val="003379B0"/>
    <w:rsid w:val="00340E5F"/>
    <w:rsid w:val="00343EA0"/>
    <w:rsid w:val="00347E2E"/>
    <w:rsid w:val="00351F34"/>
    <w:rsid w:val="00352334"/>
    <w:rsid w:val="003526DC"/>
    <w:rsid w:val="0035309F"/>
    <w:rsid w:val="00353DCF"/>
    <w:rsid w:val="00355478"/>
    <w:rsid w:val="003557D5"/>
    <w:rsid w:val="00355DC7"/>
    <w:rsid w:val="00356E9F"/>
    <w:rsid w:val="003578EB"/>
    <w:rsid w:val="00357C52"/>
    <w:rsid w:val="0036159C"/>
    <w:rsid w:val="003625B9"/>
    <w:rsid w:val="00362B1B"/>
    <w:rsid w:val="00365043"/>
    <w:rsid w:val="00370F5F"/>
    <w:rsid w:val="00370F66"/>
    <w:rsid w:val="00371E8A"/>
    <w:rsid w:val="00371EAE"/>
    <w:rsid w:val="0037332C"/>
    <w:rsid w:val="0038104D"/>
    <w:rsid w:val="003810E8"/>
    <w:rsid w:val="00382067"/>
    <w:rsid w:val="00383CE6"/>
    <w:rsid w:val="0038496E"/>
    <w:rsid w:val="00384D96"/>
    <w:rsid w:val="003858E4"/>
    <w:rsid w:val="00385AAD"/>
    <w:rsid w:val="00390692"/>
    <w:rsid w:val="0039083F"/>
    <w:rsid w:val="00390C1A"/>
    <w:rsid w:val="003945AF"/>
    <w:rsid w:val="00396550"/>
    <w:rsid w:val="003A0C22"/>
    <w:rsid w:val="003A15FB"/>
    <w:rsid w:val="003A2655"/>
    <w:rsid w:val="003A307E"/>
    <w:rsid w:val="003A3F3B"/>
    <w:rsid w:val="003A6896"/>
    <w:rsid w:val="003B1438"/>
    <w:rsid w:val="003B153D"/>
    <w:rsid w:val="003B2F31"/>
    <w:rsid w:val="003B5666"/>
    <w:rsid w:val="003B7671"/>
    <w:rsid w:val="003C456B"/>
    <w:rsid w:val="003C6CD2"/>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09E5"/>
    <w:rsid w:val="00411778"/>
    <w:rsid w:val="00414004"/>
    <w:rsid w:val="00414321"/>
    <w:rsid w:val="00414D8B"/>
    <w:rsid w:val="00414F7A"/>
    <w:rsid w:val="0042059A"/>
    <w:rsid w:val="00420701"/>
    <w:rsid w:val="00420745"/>
    <w:rsid w:val="004254B5"/>
    <w:rsid w:val="00425B94"/>
    <w:rsid w:val="00427DC4"/>
    <w:rsid w:val="00427DC8"/>
    <w:rsid w:val="004373A6"/>
    <w:rsid w:val="004375FE"/>
    <w:rsid w:val="00437704"/>
    <w:rsid w:val="00440089"/>
    <w:rsid w:val="00441B76"/>
    <w:rsid w:val="00443BBF"/>
    <w:rsid w:val="004445EF"/>
    <w:rsid w:val="004459B5"/>
    <w:rsid w:val="004467D3"/>
    <w:rsid w:val="004469EF"/>
    <w:rsid w:val="00447F5B"/>
    <w:rsid w:val="0045072F"/>
    <w:rsid w:val="004518F0"/>
    <w:rsid w:val="004522B2"/>
    <w:rsid w:val="00456CBD"/>
    <w:rsid w:val="004576AA"/>
    <w:rsid w:val="00457BBD"/>
    <w:rsid w:val="00457C55"/>
    <w:rsid w:val="00461F41"/>
    <w:rsid w:val="004626F7"/>
    <w:rsid w:val="00462753"/>
    <w:rsid w:val="00464786"/>
    <w:rsid w:val="00464A7E"/>
    <w:rsid w:val="00465BDE"/>
    <w:rsid w:val="0047083E"/>
    <w:rsid w:val="00472397"/>
    <w:rsid w:val="0047268E"/>
    <w:rsid w:val="004743C0"/>
    <w:rsid w:val="004747E3"/>
    <w:rsid w:val="00476D85"/>
    <w:rsid w:val="004779A9"/>
    <w:rsid w:val="00477D05"/>
    <w:rsid w:val="00486F40"/>
    <w:rsid w:val="004905C3"/>
    <w:rsid w:val="004A0B27"/>
    <w:rsid w:val="004A0C80"/>
    <w:rsid w:val="004A0D5B"/>
    <w:rsid w:val="004A2D23"/>
    <w:rsid w:val="004A51E8"/>
    <w:rsid w:val="004A7311"/>
    <w:rsid w:val="004A74BA"/>
    <w:rsid w:val="004B067D"/>
    <w:rsid w:val="004B4AC8"/>
    <w:rsid w:val="004C1326"/>
    <w:rsid w:val="004C1417"/>
    <w:rsid w:val="004C18ED"/>
    <w:rsid w:val="004C2FC4"/>
    <w:rsid w:val="004C4BDC"/>
    <w:rsid w:val="004C519C"/>
    <w:rsid w:val="004D7226"/>
    <w:rsid w:val="004E10A8"/>
    <w:rsid w:val="004E2E6A"/>
    <w:rsid w:val="004E3C80"/>
    <w:rsid w:val="004F3C24"/>
    <w:rsid w:val="004F4C94"/>
    <w:rsid w:val="004F756F"/>
    <w:rsid w:val="005001A3"/>
    <w:rsid w:val="00500FF4"/>
    <w:rsid w:val="005036DA"/>
    <w:rsid w:val="005052C9"/>
    <w:rsid w:val="00506961"/>
    <w:rsid w:val="0051496C"/>
    <w:rsid w:val="00514B79"/>
    <w:rsid w:val="00514D9F"/>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106B"/>
    <w:rsid w:val="005708A8"/>
    <w:rsid w:val="005753F0"/>
    <w:rsid w:val="00580B24"/>
    <w:rsid w:val="0058228E"/>
    <w:rsid w:val="00582D4B"/>
    <w:rsid w:val="005849A7"/>
    <w:rsid w:val="00585258"/>
    <w:rsid w:val="00585266"/>
    <w:rsid w:val="00585DB5"/>
    <w:rsid w:val="00586A0F"/>
    <w:rsid w:val="00591229"/>
    <w:rsid w:val="00592A6C"/>
    <w:rsid w:val="00595EA5"/>
    <w:rsid w:val="00596203"/>
    <w:rsid w:val="005969F9"/>
    <w:rsid w:val="00596E2F"/>
    <w:rsid w:val="00596F14"/>
    <w:rsid w:val="00597F88"/>
    <w:rsid w:val="005A0A6F"/>
    <w:rsid w:val="005A28E5"/>
    <w:rsid w:val="005A4EAA"/>
    <w:rsid w:val="005A6E8F"/>
    <w:rsid w:val="005A7BD4"/>
    <w:rsid w:val="005B14FF"/>
    <w:rsid w:val="005B1CD7"/>
    <w:rsid w:val="005B2DC1"/>
    <w:rsid w:val="005B554C"/>
    <w:rsid w:val="005C0A7E"/>
    <w:rsid w:val="005C44D3"/>
    <w:rsid w:val="005C52BF"/>
    <w:rsid w:val="005D0472"/>
    <w:rsid w:val="005D096A"/>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17862"/>
    <w:rsid w:val="0062197D"/>
    <w:rsid w:val="00621A6E"/>
    <w:rsid w:val="00622075"/>
    <w:rsid w:val="00622F25"/>
    <w:rsid w:val="00623176"/>
    <w:rsid w:val="006231CB"/>
    <w:rsid w:val="0062374F"/>
    <w:rsid w:val="00625078"/>
    <w:rsid w:val="0062509D"/>
    <w:rsid w:val="0062533B"/>
    <w:rsid w:val="00625EF2"/>
    <w:rsid w:val="0063001C"/>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74442"/>
    <w:rsid w:val="00674ACF"/>
    <w:rsid w:val="00676297"/>
    <w:rsid w:val="0067637D"/>
    <w:rsid w:val="00683F57"/>
    <w:rsid w:val="006863BF"/>
    <w:rsid w:val="006879C9"/>
    <w:rsid w:val="00687B18"/>
    <w:rsid w:val="00687BAD"/>
    <w:rsid w:val="0069139A"/>
    <w:rsid w:val="00693300"/>
    <w:rsid w:val="00697064"/>
    <w:rsid w:val="0069744E"/>
    <w:rsid w:val="006A0D1F"/>
    <w:rsid w:val="006A0E8F"/>
    <w:rsid w:val="006A0FC7"/>
    <w:rsid w:val="006A1CDE"/>
    <w:rsid w:val="006A1CF1"/>
    <w:rsid w:val="006A1F5B"/>
    <w:rsid w:val="006A26B6"/>
    <w:rsid w:val="006A437D"/>
    <w:rsid w:val="006A72D1"/>
    <w:rsid w:val="006A7884"/>
    <w:rsid w:val="006B245C"/>
    <w:rsid w:val="006B2525"/>
    <w:rsid w:val="006B5B75"/>
    <w:rsid w:val="006C0829"/>
    <w:rsid w:val="006C1A37"/>
    <w:rsid w:val="006C5DC3"/>
    <w:rsid w:val="006C66E6"/>
    <w:rsid w:val="006C67B9"/>
    <w:rsid w:val="006C7316"/>
    <w:rsid w:val="006D2304"/>
    <w:rsid w:val="006D2A6D"/>
    <w:rsid w:val="006D2CBF"/>
    <w:rsid w:val="006D39A3"/>
    <w:rsid w:val="006D45FC"/>
    <w:rsid w:val="006D6865"/>
    <w:rsid w:val="006D76CD"/>
    <w:rsid w:val="006E115A"/>
    <w:rsid w:val="006E1967"/>
    <w:rsid w:val="006E321C"/>
    <w:rsid w:val="006E4216"/>
    <w:rsid w:val="006F1C29"/>
    <w:rsid w:val="006F289B"/>
    <w:rsid w:val="006F3289"/>
    <w:rsid w:val="006F33CC"/>
    <w:rsid w:val="006F384E"/>
    <w:rsid w:val="006F4F4E"/>
    <w:rsid w:val="006F678D"/>
    <w:rsid w:val="006F6B2B"/>
    <w:rsid w:val="007021B6"/>
    <w:rsid w:val="007033F0"/>
    <w:rsid w:val="007042AA"/>
    <w:rsid w:val="007058B7"/>
    <w:rsid w:val="00706DFC"/>
    <w:rsid w:val="007116FE"/>
    <w:rsid w:val="00712912"/>
    <w:rsid w:val="00713109"/>
    <w:rsid w:val="00713C99"/>
    <w:rsid w:val="0071554A"/>
    <w:rsid w:val="00715EF6"/>
    <w:rsid w:val="0071670B"/>
    <w:rsid w:val="00721B29"/>
    <w:rsid w:val="00721E7C"/>
    <w:rsid w:val="007258C4"/>
    <w:rsid w:val="00725EF5"/>
    <w:rsid w:val="00726BE5"/>
    <w:rsid w:val="00733658"/>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01A7"/>
    <w:rsid w:val="007844BE"/>
    <w:rsid w:val="00785B28"/>
    <w:rsid w:val="00792345"/>
    <w:rsid w:val="00794512"/>
    <w:rsid w:val="00794A0D"/>
    <w:rsid w:val="00794DF0"/>
    <w:rsid w:val="007965D8"/>
    <w:rsid w:val="00797ADB"/>
    <w:rsid w:val="007A0156"/>
    <w:rsid w:val="007A2B08"/>
    <w:rsid w:val="007A3826"/>
    <w:rsid w:val="007A4758"/>
    <w:rsid w:val="007A6FDA"/>
    <w:rsid w:val="007B079D"/>
    <w:rsid w:val="007B1E02"/>
    <w:rsid w:val="007B202D"/>
    <w:rsid w:val="007B43D0"/>
    <w:rsid w:val="007B557C"/>
    <w:rsid w:val="007B7D73"/>
    <w:rsid w:val="007C0474"/>
    <w:rsid w:val="007C0818"/>
    <w:rsid w:val="007C14E9"/>
    <w:rsid w:val="007C1DA9"/>
    <w:rsid w:val="007C41DF"/>
    <w:rsid w:val="007C4603"/>
    <w:rsid w:val="007C49EC"/>
    <w:rsid w:val="007C4D1A"/>
    <w:rsid w:val="007C6399"/>
    <w:rsid w:val="007D09BB"/>
    <w:rsid w:val="007D1ABF"/>
    <w:rsid w:val="007D4E04"/>
    <w:rsid w:val="007D549A"/>
    <w:rsid w:val="007D649A"/>
    <w:rsid w:val="007D6740"/>
    <w:rsid w:val="007D7C3E"/>
    <w:rsid w:val="007E027B"/>
    <w:rsid w:val="007E0E28"/>
    <w:rsid w:val="007E174F"/>
    <w:rsid w:val="007E18CE"/>
    <w:rsid w:val="007E1AAB"/>
    <w:rsid w:val="007E2208"/>
    <w:rsid w:val="007E51FA"/>
    <w:rsid w:val="007E7D3F"/>
    <w:rsid w:val="007F1C84"/>
    <w:rsid w:val="007F36C8"/>
    <w:rsid w:val="007F3A50"/>
    <w:rsid w:val="007F52CA"/>
    <w:rsid w:val="007F63DD"/>
    <w:rsid w:val="007F6DFA"/>
    <w:rsid w:val="007F7A85"/>
    <w:rsid w:val="00800105"/>
    <w:rsid w:val="00802872"/>
    <w:rsid w:val="00803D62"/>
    <w:rsid w:val="00804166"/>
    <w:rsid w:val="0080722C"/>
    <w:rsid w:val="008100A9"/>
    <w:rsid w:val="00811984"/>
    <w:rsid w:val="0081291E"/>
    <w:rsid w:val="00813688"/>
    <w:rsid w:val="00813C8F"/>
    <w:rsid w:val="008142FD"/>
    <w:rsid w:val="00815712"/>
    <w:rsid w:val="00815A88"/>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62056"/>
    <w:rsid w:val="008647B5"/>
    <w:rsid w:val="00864CBC"/>
    <w:rsid w:val="0086694B"/>
    <w:rsid w:val="00867A19"/>
    <w:rsid w:val="0087150A"/>
    <w:rsid w:val="0087211E"/>
    <w:rsid w:val="00873990"/>
    <w:rsid w:val="00874A56"/>
    <w:rsid w:val="00881A87"/>
    <w:rsid w:val="00881D56"/>
    <w:rsid w:val="008836D9"/>
    <w:rsid w:val="00890DA4"/>
    <w:rsid w:val="00892F8A"/>
    <w:rsid w:val="0089426E"/>
    <w:rsid w:val="008948D4"/>
    <w:rsid w:val="00897546"/>
    <w:rsid w:val="008A002B"/>
    <w:rsid w:val="008A1FB3"/>
    <w:rsid w:val="008A255F"/>
    <w:rsid w:val="008A2B76"/>
    <w:rsid w:val="008A343E"/>
    <w:rsid w:val="008A42AD"/>
    <w:rsid w:val="008A4DE6"/>
    <w:rsid w:val="008A4E0F"/>
    <w:rsid w:val="008A52D3"/>
    <w:rsid w:val="008A54D6"/>
    <w:rsid w:val="008A6CD4"/>
    <w:rsid w:val="008A788A"/>
    <w:rsid w:val="008B0385"/>
    <w:rsid w:val="008B2F7C"/>
    <w:rsid w:val="008B51C1"/>
    <w:rsid w:val="008B79A5"/>
    <w:rsid w:val="008C03B4"/>
    <w:rsid w:val="008C055E"/>
    <w:rsid w:val="008C1BF6"/>
    <w:rsid w:val="008C2604"/>
    <w:rsid w:val="008C2708"/>
    <w:rsid w:val="008C3515"/>
    <w:rsid w:val="008C3D7F"/>
    <w:rsid w:val="008C6B59"/>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8F6A0D"/>
    <w:rsid w:val="008F7B48"/>
    <w:rsid w:val="008F7DD6"/>
    <w:rsid w:val="0090068E"/>
    <w:rsid w:val="00900D2C"/>
    <w:rsid w:val="009030AC"/>
    <w:rsid w:val="009059FB"/>
    <w:rsid w:val="00912103"/>
    <w:rsid w:val="009145C7"/>
    <w:rsid w:val="00916232"/>
    <w:rsid w:val="009166DF"/>
    <w:rsid w:val="00916CDA"/>
    <w:rsid w:val="00917064"/>
    <w:rsid w:val="00920256"/>
    <w:rsid w:val="0092098B"/>
    <w:rsid w:val="00920C7B"/>
    <w:rsid w:val="00922FBB"/>
    <w:rsid w:val="009235D6"/>
    <w:rsid w:val="00926614"/>
    <w:rsid w:val="00926BD4"/>
    <w:rsid w:val="00927E8A"/>
    <w:rsid w:val="0093236F"/>
    <w:rsid w:val="00932BC5"/>
    <w:rsid w:val="00934EDF"/>
    <w:rsid w:val="00936015"/>
    <w:rsid w:val="009361F9"/>
    <w:rsid w:val="00936660"/>
    <w:rsid w:val="00937BF1"/>
    <w:rsid w:val="00937F0E"/>
    <w:rsid w:val="00941D3A"/>
    <w:rsid w:val="00942712"/>
    <w:rsid w:val="00945A79"/>
    <w:rsid w:val="00950151"/>
    <w:rsid w:val="00951444"/>
    <w:rsid w:val="00951800"/>
    <w:rsid w:val="00952014"/>
    <w:rsid w:val="00953776"/>
    <w:rsid w:val="00954848"/>
    <w:rsid w:val="009576D3"/>
    <w:rsid w:val="00957BEC"/>
    <w:rsid w:val="00964308"/>
    <w:rsid w:val="00964587"/>
    <w:rsid w:val="00964B1D"/>
    <w:rsid w:val="00966430"/>
    <w:rsid w:val="00971D8D"/>
    <w:rsid w:val="009734A6"/>
    <w:rsid w:val="00976970"/>
    <w:rsid w:val="00976D4F"/>
    <w:rsid w:val="0098034C"/>
    <w:rsid w:val="0098486B"/>
    <w:rsid w:val="0098630E"/>
    <w:rsid w:val="00990549"/>
    <w:rsid w:val="009927B8"/>
    <w:rsid w:val="00994C26"/>
    <w:rsid w:val="009968EE"/>
    <w:rsid w:val="009977AB"/>
    <w:rsid w:val="009A0482"/>
    <w:rsid w:val="009A06C4"/>
    <w:rsid w:val="009A1AAF"/>
    <w:rsid w:val="009A353A"/>
    <w:rsid w:val="009A4878"/>
    <w:rsid w:val="009A550B"/>
    <w:rsid w:val="009B0F58"/>
    <w:rsid w:val="009B3CA7"/>
    <w:rsid w:val="009B5FBE"/>
    <w:rsid w:val="009B72B5"/>
    <w:rsid w:val="009C259F"/>
    <w:rsid w:val="009C32E6"/>
    <w:rsid w:val="009C38EB"/>
    <w:rsid w:val="009C423A"/>
    <w:rsid w:val="009C48A3"/>
    <w:rsid w:val="009C4EC3"/>
    <w:rsid w:val="009C6D7D"/>
    <w:rsid w:val="009C7120"/>
    <w:rsid w:val="009C7248"/>
    <w:rsid w:val="009D1784"/>
    <w:rsid w:val="009D189D"/>
    <w:rsid w:val="009D4656"/>
    <w:rsid w:val="009D5065"/>
    <w:rsid w:val="009D7D8D"/>
    <w:rsid w:val="009E04DD"/>
    <w:rsid w:val="009E30ED"/>
    <w:rsid w:val="009E3ACB"/>
    <w:rsid w:val="009E51CF"/>
    <w:rsid w:val="009E7939"/>
    <w:rsid w:val="009F05D0"/>
    <w:rsid w:val="009F0896"/>
    <w:rsid w:val="009F13FC"/>
    <w:rsid w:val="009F1ABF"/>
    <w:rsid w:val="009F42A7"/>
    <w:rsid w:val="009F5DC6"/>
    <w:rsid w:val="009F6B69"/>
    <w:rsid w:val="00A00C54"/>
    <w:rsid w:val="00A019CA"/>
    <w:rsid w:val="00A01E75"/>
    <w:rsid w:val="00A0258F"/>
    <w:rsid w:val="00A03E08"/>
    <w:rsid w:val="00A051E2"/>
    <w:rsid w:val="00A10A53"/>
    <w:rsid w:val="00A10D11"/>
    <w:rsid w:val="00A117BE"/>
    <w:rsid w:val="00A13085"/>
    <w:rsid w:val="00A15670"/>
    <w:rsid w:val="00A178E7"/>
    <w:rsid w:val="00A22C6A"/>
    <w:rsid w:val="00A232C1"/>
    <w:rsid w:val="00A31FEE"/>
    <w:rsid w:val="00A32194"/>
    <w:rsid w:val="00A32443"/>
    <w:rsid w:val="00A32665"/>
    <w:rsid w:val="00A327D0"/>
    <w:rsid w:val="00A330AB"/>
    <w:rsid w:val="00A334AB"/>
    <w:rsid w:val="00A33CF4"/>
    <w:rsid w:val="00A348FB"/>
    <w:rsid w:val="00A34F6C"/>
    <w:rsid w:val="00A37803"/>
    <w:rsid w:val="00A37976"/>
    <w:rsid w:val="00A40107"/>
    <w:rsid w:val="00A40FD8"/>
    <w:rsid w:val="00A42B2E"/>
    <w:rsid w:val="00A43965"/>
    <w:rsid w:val="00A43A8F"/>
    <w:rsid w:val="00A43B37"/>
    <w:rsid w:val="00A4515C"/>
    <w:rsid w:val="00A46AF1"/>
    <w:rsid w:val="00A47EA0"/>
    <w:rsid w:val="00A505FF"/>
    <w:rsid w:val="00A52FF9"/>
    <w:rsid w:val="00A543F4"/>
    <w:rsid w:val="00A5544B"/>
    <w:rsid w:val="00A579F8"/>
    <w:rsid w:val="00A60353"/>
    <w:rsid w:val="00A6251F"/>
    <w:rsid w:val="00A62C43"/>
    <w:rsid w:val="00A64645"/>
    <w:rsid w:val="00A675B4"/>
    <w:rsid w:val="00A67E15"/>
    <w:rsid w:val="00A70C5E"/>
    <w:rsid w:val="00A7225A"/>
    <w:rsid w:val="00A80D5A"/>
    <w:rsid w:val="00A813C4"/>
    <w:rsid w:val="00A82521"/>
    <w:rsid w:val="00A87787"/>
    <w:rsid w:val="00A90431"/>
    <w:rsid w:val="00A91028"/>
    <w:rsid w:val="00A91101"/>
    <w:rsid w:val="00A91276"/>
    <w:rsid w:val="00A9233B"/>
    <w:rsid w:val="00A92C58"/>
    <w:rsid w:val="00A93505"/>
    <w:rsid w:val="00A9386A"/>
    <w:rsid w:val="00A94BDF"/>
    <w:rsid w:val="00A95347"/>
    <w:rsid w:val="00A956EB"/>
    <w:rsid w:val="00AA0970"/>
    <w:rsid w:val="00AA0D55"/>
    <w:rsid w:val="00AA1570"/>
    <w:rsid w:val="00AA455F"/>
    <w:rsid w:val="00AA53E5"/>
    <w:rsid w:val="00AA6809"/>
    <w:rsid w:val="00AB01D5"/>
    <w:rsid w:val="00AB0204"/>
    <w:rsid w:val="00AB07FF"/>
    <w:rsid w:val="00AB3514"/>
    <w:rsid w:val="00AB36C7"/>
    <w:rsid w:val="00AB3A12"/>
    <w:rsid w:val="00AB4FF0"/>
    <w:rsid w:val="00AB7E38"/>
    <w:rsid w:val="00AC0185"/>
    <w:rsid w:val="00AC0670"/>
    <w:rsid w:val="00AC0830"/>
    <w:rsid w:val="00AC097F"/>
    <w:rsid w:val="00AC0CAA"/>
    <w:rsid w:val="00AD144A"/>
    <w:rsid w:val="00AD36F9"/>
    <w:rsid w:val="00AD43DC"/>
    <w:rsid w:val="00AD7C70"/>
    <w:rsid w:val="00AE29F7"/>
    <w:rsid w:val="00AE3B53"/>
    <w:rsid w:val="00AE4236"/>
    <w:rsid w:val="00AE51B0"/>
    <w:rsid w:val="00AE535F"/>
    <w:rsid w:val="00AE591A"/>
    <w:rsid w:val="00AE7F3B"/>
    <w:rsid w:val="00AF21D0"/>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543C"/>
    <w:rsid w:val="00B27969"/>
    <w:rsid w:val="00B27CCD"/>
    <w:rsid w:val="00B27F6B"/>
    <w:rsid w:val="00B30292"/>
    <w:rsid w:val="00B30409"/>
    <w:rsid w:val="00B3232C"/>
    <w:rsid w:val="00B345B0"/>
    <w:rsid w:val="00B35201"/>
    <w:rsid w:val="00B35DEE"/>
    <w:rsid w:val="00B368BD"/>
    <w:rsid w:val="00B36C5A"/>
    <w:rsid w:val="00B40294"/>
    <w:rsid w:val="00B41DD2"/>
    <w:rsid w:val="00B428BD"/>
    <w:rsid w:val="00B42CF6"/>
    <w:rsid w:val="00B4307D"/>
    <w:rsid w:val="00B43B19"/>
    <w:rsid w:val="00B43F8D"/>
    <w:rsid w:val="00B46126"/>
    <w:rsid w:val="00B50FDA"/>
    <w:rsid w:val="00B512FE"/>
    <w:rsid w:val="00B530F2"/>
    <w:rsid w:val="00B53E85"/>
    <w:rsid w:val="00B54837"/>
    <w:rsid w:val="00B54C9E"/>
    <w:rsid w:val="00B560AA"/>
    <w:rsid w:val="00B572B7"/>
    <w:rsid w:val="00B61ED5"/>
    <w:rsid w:val="00B63086"/>
    <w:rsid w:val="00B67DC9"/>
    <w:rsid w:val="00B7385F"/>
    <w:rsid w:val="00B74EDD"/>
    <w:rsid w:val="00B75411"/>
    <w:rsid w:val="00B777CC"/>
    <w:rsid w:val="00B80578"/>
    <w:rsid w:val="00B82E1E"/>
    <w:rsid w:val="00B82F92"/>
    <w:rsid w:val="00B86834"/>
    <w:rsid w:val="00B86897"/>
    <w:rsid w:val="00B91035"/>
    <w:rsid w:val="00B91541"/>
    <w:rsid w:val="00B91C42"/>
    <w:rsid w:val="00B92219"/>
    <w:rsid w:val="00B9399D"/>
    <w:rsid w:val="00B978C6"/>
    <w:rsid w:val="00BA09F4"/>
    <w:rsid w:val="00BA11F0"/>
    <w:rsid w:val="00BA13A3"/>
    <w:rsid w:val="00BA1C0F"/>
    <w:rsid w:val="00BA3FBD"/>
    <w:rsid w:val="00BA4C46"/>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06EEB"/>
    <w:rsid w:val="00C10807"/>
    <w:rsid w:val="00C108F7"/>
    <w:rsid w:val="00C136DA"/>
    <w:rsid w:val="00C151B5"/>
    <w:rsid w:val="00C15316"/>
    <w:rsid w:val="00C1622F"/>
    <w:rsid w:val="00C17875"/>
    <w:rsid w:val="00C215CE"/>
    <w:rsid w:val="00C225A1"/>
    <w:rsid w:val="00C24651"/>
    <w:rsid w:val="00C2490B"/>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181D"/>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0528"/>
    <w:rsid w:val="00CA1366"/>
    <w:rsid w:val="00CA17BB"/>
    <w:rsid w:val="00CA388A"/>
    <w:rsid w:val="00CA53DD"/>
    <w:rsid w:val="00CA5712"/>
    <w:rsid w:val="00CB0112"/>
    <w:rsid w:val="00CB6E4A"/>
    <w:rsid w:val="00CB7C76"/>
    <w:rsid w:val="00CC16D1"/>
    <w:rsid w:val="00CC1987"/>
    <w:rsid w:val="00CC5671"/>
    <w:rsid w:val="00CC5FEC"/>
    <w:rsid w:val="00CD0C86"/>
    <w:rsid w:val="00CD10D7"/>
    <w:rsid w:val="00CD29DE"/>
    <w:rsid w:val="00CD2FDC"/>
    <w:rsid w:val="00CD4CC6"/>
    <w:rsid w:val="00CE032A"/>
    <w:rsid w:val="00CE3CF9"/>
    <w:rsid w:val="00CE50F7"/>
    <w:rsid w:val="00CE65FC"/>
    <w:rsid w:val="00CF406D"/>
    <w:rsid w:val="00CF5C38"/>
    <w:rsid w:val="00CF6851"/>
    <w:rsid w:val="00CF6EA4"/>
    <w:rsid w:val="00D027C4"/>
    <w:rsid w:val="00D03824"/>
    <w:rsid w:val="00D0390D"/>
    <w:rsid w:val="00D04275"/>
    <w:rsid w:val="00D0752F"/>
    <w:rsid w:val="00D07E43"/>
    <w:rsid w:val="00D13E68"/>
    <w:rsid w:val="00D17DF2"/>
    <w:rsid w:val="00D207FE"/>
    <w:rsid w:val="00D22A9C"/>
    <w:rsid w:val="00D306B4"/>
    <w:rsid w:val="00D315D9"/>
    <w:rsid w:val="00D31CCC"/>
    <w:rsid w:val="00D331DF"/>
    <w:rsid w:val="00D34AF3"/>
    <w:rsid w:val="00D36A9A"/>
    <w:rsid w:val="00D37234"/>
    <w:rsid w:val="00D37A98"/>
    <w:rsid w:val="00D43574"/>
    <w:rsid w:val="00D439C6"/>
    <w:rsid w:val="00D45E82"/>
    <w:rsid w:val="00D4600C"/>
    <w:rsid w:val="00D4699A"/>
    <w:rsid w:val="00D47ECA"/>
    <w:rsid w:val="00D5314D"/>
    <w:rsid w:val="00D54324"/>
    <w:rsid w:val="00D5441B"/>
    <w:rsid w:val="00D548D6"/>
    <w:rsid w:val="00D54E95"/>
    <w:rsid w:val="00D56098"/>
    <w:rsid w:val="00D5682F"/>
    <w:rsid w:val="00D651BE"/>
    <w:rsid w:val="00D66AD0"/>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3D5"/>
    <w:rsid w:val="00DA450C"/>
    <w:rsid w:val="00DA626A"/>
    <w:rsid w:val="00DB2E50"/>
    <w:rsid w:val="00DB364B"/>
    <w:rsid w:val="00DB4EF0"/>
    <w:rsid w:val="00DB5064"/>
    <w:rsid w:val="00DB559C"/>
    <w:rsid w:val="00DB59C7"/>
    <w:rsid w:val="00DB6238"/>
    <w:rsid w:val="00DB62F7"/>
    <w:rsid w:val="00DB640E"/>
    <w:rsid w:val="00DC1171"/>
    <w:rsid w:val="00DC4F7A"/>
    <w:rsid w:val="00DD0097"/>
    <w:rsid w:val="00DD1560"/>
    <w:rsid w:val="00DD2460"/>
    <w:rsid w:val="00DD3391"/>
    <w:rsid w:val="00DD5381"/>
    <w:rsid w:val="00DD7B80"/>
    <w:rsid w:val="00DE0DA6"/>
    <w:rsid w:val="00DE32CE"/>
    <w:rsid w:val="00DE3C38"/>
    <w:rsid w:val="00DE5131"/>
    <w:rsid w:val="00DE698F"/>
    <w:rsid w:val="00DF098F"/>
    <w:rsid w:val="00DF438D"/>
    <w:rsid w:val="00E01159"/>
    <w:rsid w:val="00E042B7"/>
    <w:rsid w:val="00E05F99"/>
    <w:rsid w:val="00E06073"/>
    <w:rsid w:val="00E07950"/>
    <w:rsid w:val="00E132EC"/>
    <w:rsid w:val="00E140B3"/>
    <w:rsid w:val="00E17AD2"/>
    <w:rsid w:val="00E208EA"/>
    <w:rsid w:val="00E20EBB"/>
    <w:rsid w:val="00E21EED"/>
    <w:rsid w:val="00E2289B"/>
    <w:rsid w:val="00E23010"/>
    <w:rsid w:val="00E237E1"/>
    <w:rsid w:val="00E26004"/>
    <w:rsid w:val="00E271F0"/>
    <w:rsid w:val="00E304F1"/>
    <w:rsid w:val="00E328CC"/>
    <w:rsid w:val="00E36764"/>
    <w:rsid w:val="00E36E54"/>
    <w:rsid w:val="00E37FFE"/>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674FE"/>
    <w:rsid w:val="00E701D4"/>
    <w:rsid w:val="00E72D55"/>
    <w:rsid w:val="00E735C0"/>
    <w:rsid w:val="00E75C01"/>
    <w:rsid w:val="00E76F13"/>
    <w:rsid w:val="00E76FC2"/>
    <w:rsid w:val="00E773AE"/>
    <w:rsid w:val="00E8024D"/>
    <w:rsid w:val="00E80B38"/>
    <w:rsid w:val="00E81003"/>
    <w:rsid w:val="00E819ED"/>
    <w:rsid w:val="00E81D83"/>
    <w:rsid w:val="00E820F6"/>
    <w:rsid w:val="00E82F73"/>
    <w:rsid w:val="00E83E06"/>
    <w:rsid w:val="00E84AD6"/>
    <w:rsid w:val="00E8535D"/>
    <w:rsid w:val="00E85AD0"/>
    <w:rsid w:val="00E861E8"/>
    <w:rsid w:val="00E90C20"/>
    <w:rsid w:val="00E91FA2"/>
    <w:rsid w:val="00E94E72"/>
    <w:rsid w:val="00E95DC3"/>
    <w:rsid w:val="00EA0A04"/>
    <w:rsid w:val="00EA0A10"/>
    <w:rsid w:val="00EA1041"/>
    <w:rsid w:val="00EA2C60"/>
    <w:rsid w:val="00EA2D7D"/>
    <w:rsid w:val="00EA5A2B"/>
    <w:rsid w:val="00EA7E4F"/>
    <w:rsid w:val="00EB22D4"/>
    <w:rsid w:val="00EB3B77"/>
    <w:rsid w:val="00EB4DC1"/>
    <w:rsid w:val="00EB726D"/>
    <w:rsid w:val="00EB786B"/>
    <w:rsid w:val="00EC0B0D"/>
    <w:rsid w:val="00EC0C73"/>
    <w:rsid w:val="00EC16A8"/>
    <w:rsid w:val="00EC1F4C"/>
    <w:rsid w:val="00EC5B90"/>
    <w:rsid w:val="00ED01B6"/>
    <w:rsid w:val="00ED08C9"/>
    <w:rsid w:val="00ED1710"/>
    <w:rsid w:val="00ED2C17"/>
    <w:rsid w:val="00ED49B8"/>
    <w:rsid w:val="00ED4E41"/>
    <w:rsid w:val="00ED5226"/>
    <w:rsid w:val="00EE0DBB"/>
    <w:rsid w:val="00EE3D85"/>
    <w:rsid w:val="00EE4363"/>
    <w:rsid w:val="00EF3895"/>
    <w:rsid w:val="00EF3B77"/>
    <w:rsid w:val="00EF6BD5"/>
    <w:rsid w:val="00EF7093"/>
    <w:rsid w:val="00F00A2C"/>
    <w:rsid w:val="00F01B8A"/>
    <w:rsid w:val="00F01F63"/>
    <w:rsid w:val="00F0235E"/>
    <w:rsid w:val="00F02927"/>
    <w:rsid w:val="00F03BB8"/>
    <w:rsid w:val="00F0407F"/>
    <w:rsid w:val="00F040B2"/>
    <w:rsid w:val="00F061DF"/>
    <w:rsid w:val="00F06823"/>
    <w:rsid w:val="00F07BC3"/>
    <w:rsid w:val="00F11B5B"/>
    <w:rsid w:val="00F12428"/>
    <w:rsid w:val="00F12A50"/>
    <w:rsid w:val="00F177B8"/>
    <w:rsid w:val="00F2103C"/>
    <w:rsid w:val="00F228D1"/>
    <w:rsid w:val="00F248ED"/>
    <w:rsid w:val="00F271AF"/>
    <w:rsid w:val="00F27E2A"/>
    <w:rsid w:val="00F31A5E"/>
    <w:rsid w:val="00F31ADB"/>
    <w:rsid w:val="00F31E2E"/>
    <w:rsid w:val="00F34A67"/>
    <w:rsid w:val="00F35FEC"/>
    <w:rsid w:val="00F408F2"/>
    <w:rsid w:val="00F42155"/>
    <w:rsid w:val="00F42FEE"/>
    <w:rsid w:val="00F4325A"/>
    <w:rsid w:val="00F43855"/>
    <w:rsid w:val="00F46415"/>
    <w:rsid w:val="00F46E16"/>
    <w:rsid w:val="00F47217"/>
    <w:rsid w:val="00F5137F"/>
    <w:rsid w:val="00F5249C"/>
    <w:rsid w:val="00F56BDA"/>
    <w:rsid w:val="00F6043E"/>
    <w:rsid w:val="00F60658"/>
    <w:rsid w:val="00F60831"/>
    <w:rsid w:val="00F61142"/>
    <w:rsid w:val="00F61C83"/>
    <w:rsid w:val="00F61D57"/>
    <w:rsid w:val="00F62896"/>
    <w:rsid w:val="00F64DEA"/>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3FEB"/>
    <w:rsid w:val="00FB6732"/>
    <w:rsid w:val="00FB6E02"/>
    <w:rsid w:val="00FB7BF5"/>
    <w:rsid w:val="00FC0D1B"/>
    <w:rsid w:val="00FC0DD1"/>
    <w:rsid w:val="00FC1C09"/>
    <w:rsid w:val="00FC281B"/>
    <w:rsid w:val="00FC3258"/>
    <w:rsid w:val="00FC354D"/>
    <w:rsid w:val="00FC57CF"/>
    <w:rsid w:val="00FC5AF9"/>
    <w:rsid w:val="00FC64AA"/>
    <w:rsid w:val="00FC69A8"/>
    <w:rsid w:val="00FD1D04"/>
    <w:rsid w:val="00FD29B4"/>
    <w:rsid w:val="00FD32D1"/>
    <w:rsid w:val="00FD34FB"/>
    <w:rsid w:val="00FD3B3A"/>
    <w:rsid w:val="00FD664B"/>
    <w:rsid w:val="00FD66C6"/>
    <w:rsid w:val="00FE04E7"/>
    <w:rsid w:val="00FE0F4C"/>
    <w:rsid w:val="00FE151C"/>
    <w:rsid w:val="00FE1ABE"/>
    <w:rsid w:val="00FE2070"/>
    <w:rsid w:val="00FE30B2"/>
    <w:rsid w:val="00FE36AE"/>
    <w:rsid w:val="00FE41EE"/>
    <w:rsid w:val="00FF0567"/>
    <w:rsid w:val="00FF2390"/>
    <w:rsid w:val="00FF284F"/>
    <w:rsid w:val="00FF3E58"/>
    <w:rsid w:val="00FF5236"/>
    <w:rsid w:val="00FF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DB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DB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75666">
      <w:bodyDiv w:val="1"/>
      <w:marLeft w:val="0"/>
      <w:marRight w:val="0"/>
      <w:marTop w:val="0"/>
      <w:marBottom w:val="0"/>
      <w:divBdr>
        <w:top w:val="none" w:sz="0" w:space="0" w:color="auto"/>
        <w:left w:val="none" w:sz="0" w:space="0" w:color="auto"/>
        <w:bottom w:val="none" w:sz="0" w:space="0" w:color="auto"/>
        <w:right w:val="none" w:sz="0" w:space="0" w:color="auto"/>
      </w:divBdr>
    </w:div>
    <w:div w:id="845093264">
      <w:bodyDiv w:val="1"/>
      <w:marLeft w:val="0"/>
      <w:marRight w:val="0"/>
      <w:marTop w:val="0"/>
      <w:marBottom w:val="0"/>
      <w:divBdr>
        <w:top w:val="none" w:sz="0" w:space="0" w:color="auto"/>
        <w:left w:val="none" w:sz="0" w:space="0" w:color="auto"/>
        <w:bottom w:val="none" w:sz="0" w:space="0" w:color="auto"/>
        <w:right w:val="none" w:sz="0" w:space="0" w:color="auto"/>
      </w:divBdr>
    </w:div>
    <w:div w:id="95401637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86560978">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90461038">
      <w:bodyDiv w:val="1"/>
      <w:marLeft w:val="0"/>
      <w:marRight w:val="0"/>
      <w:marTop w:val="0"/>
      <w:marBottom w:val="0"/>
      <w:divBdr>
        <w:top w:val="none" w:sz="0" w:space="0" w:color="auto"/>
        <w:left w:val="none" w:sz="0" w:space="0" w:color="auto"/>
        <w:bottom w:val="none" w:sz="0" w:space="0" w:color="auto"/>
        <w:right w:val="none" w:sz="0" w:space="0" w:color="auto"/>
      </w:divBdr>
    </w:div>
    <w:div w:id="2046441399">
      <w:bodyDiv w:val="1"/>
      <w:marLeft w:val="0"/>
      <w:marRight w:val="0"/>
      <w:marTop w:val="0"/>
      <w:marBottom w:val="0"/>
      <w:divBdr>
        <w:top w:val="none" w:sz="0" w:space="0" w:color="auto"/>
        <w:left w:val="none" w:sz="0" w:space="0" w:color="auto"/>
        <w:bottom w:val="none" w:sz="0" w:space="0" w:color="auto"/>
        <w:right w:val="none" w:sz="0" w:space="0" w:color="auto"/>
      </w:divBdr>
    </w:div>
    <w:div w:id="209921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oleObject" Target="embeddings/oleObject38.bin"/><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oleObject" Target="embeddings/oleObject26.bin"/><Relationship Id="rId58" Type="http://schemas.openxmlformats.org/officeDocument/2006/relationships/image" Target="media/image22.wmf"/><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header" Target="header2.xm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80" Type="http://schemas.openxmlformats.org/officeDocument/2006/relationships/header" Target="header1.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image" Target="media/image26.w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5.bin"/><Relationship Id="rId75" Type="http://schemas.openxmlformats.org/officeDocument/2006/relationships/image" Target="media/image30.wmf"/><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5.bin"/><Relationship Id="rId60" Type="http://schemas.openxmlformats.org/officeDocument/2006/relationships/image" Target="media/image23.wmf"/><Relationship Id="rId65" Type="http://schemas.openxmlformats.org/officeDocument/2006/relationships/oleObject" Target="embeddings/oleObject32.bin"/><Relationship Id="rId73" Type="http://schemas.openxmlformats.org/officeDocument/2006/relationships/image" Target="media/image29.wmf"/><Relationship Id="rId78" Type="http://schemas.openxmlformats.org/officeDocument/2006/relationships/oleObject" Target="embeddings/oleObject39.bin"/><Relationship Id="rId8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EFEBE-020C-4D89-A5D6-1402FDE2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6</Pages>
  <Words>2210</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61</cp:revision>
  <cp:lastPrinted>2015-07-20T19:34:00Z</cp:lastPrinted>
  <dcterms:created xsi:type="dcterms:W3CDTF">2016-01-29T09:35:00Z</dcterms:created>
  <dcterms:modified xsi:type="dcterms:W3CDTF">2016-03-16T17:37:00Z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